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tyles.xml" ContentType="application/vnd.openxmlformats-officedocument.wordprocessingml.style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075" w:rsidRDefault="002F5075">
      <w:pPr>
        <w:widowControl w:val="0"/>
        <w:autoSpaceDE w:val="0"/>
        <w:autoSpaceDN w:val="0"/>
        <w:adjustRightInd w:val="0"/>
        <w:spacing w:after="0" w:line="240" w:lineRule="auto"/>
        <w:ind w:firstLine="540"/>
        <w:jc w:val="both"/>
        <w:outlineLvl w:val="0"/>
        <w:rPr>
          <w:rFonts w:ascii="Calibri" w:hAnsi="Calibri" w:cs="Calibri"/>
        </w:rPr>
      </w:pPr>
    </w:p>
    <w:p w:rsidR="002F5075" w:rsidRDefault="002F5075">
      <w:pPr>
        <w:widowControl w:val="0"/>
        <w:autoSpaceDE w:val="0"/>
        <w:autoSpaceDN w:val="0"/>
        <w:adjustRightInd w:val="0"/>
        <w:spacing w:after="0" w:line="240" w:lineRule="auto"/>
        <w:outlineLvl w:val="0"/>
        <w:rPr>
          <w:rFonts w:ascii="Calibri" w:hAnsi="Calibri" w:cs="Calibri"/>
        </w:rPr>
      </w:pPr>
      <w:bookmarkStart w:id="0" w:name="Par1"/>
      <w:bookmarkEnd w:id="0"/>
      <w:r>
        <w:rPr>
          <w:rFonts w:ascii="Calibri" w:hAnsi="Calibri" w:cs="Calibri"/>
        </w:rPr>
        <w:t>Зарегистрировано в Минюсте России 1 июля 2011 г. N 21230</w:t>
      </w:r>
    </w:p>
    <w:p w:rsidR="002F5075" w:rsidRDefault="002F507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F5075" w:rsidRDefault="002F5075">
      <w:pPr>
        <w:widowControl w:val="0"/>
        <w:autoSpaceDE w:val="0"/>
        <w:autoSpaceDN w:val="0"/>
        <w:adjustRightInd w:val="0"/>
        <w:spacing w:after="0" w:line="240" w:lineRule="auto"/>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ФЕДЕРАЛЬНАЯ СЛУЖБА ПО ТАРИФАМ</w:t>
      </w:r>
    </w:p>
    <w:p w:rsidR="002F5075" w:rsidRDefault="002F5075">
      <w:pPr>
        <w:widowControl w:val="0"/>
        <w:autoSpaceDE w:val="0"/>
        <w:autoSpaceDN w:val="0"/>
        <w:adjustRightInd w:val="0"/>
        <w:spacing w:after="0" w:line="240" w:lineRule="auto"/>
        <w:jc w:val="center"/>
        <w:rPr>
          <w:rFonts w:ascii="Calibri" w:hAnsi="Calibri" w:cs="Calibri"/>
          <w:b/>
          <w:bCs/>
        </w:rPr>
      </w:pP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ПРИКАЗ</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24 июня 2011 г. N 159-э/1</w:t>
      </w:r>
    </w:p>
    <w:p w:rsidR="002F5075" w:rsidRDefault="002F5075">
      <w:pPr>
        <w:widowControl w:val="0"/>
        <w:autoSpaceDE w:val="0"/>
        <w:autoSpaceDN w:val="0"/>
        <w:adjustRightInd w:val="0"/>
        <w:spacing w:after="0" w:line="240" w:lineRule="auto"/>
        <w:jc w:val="center"/>
        <w:rPr>
          <w:rFonts w:ascii="Calibri" w:hAnsi="Calibri" w:cs="Calibri"/>
          <w:b/>
          <w:bCs/>
        </w:rPr>
      </w:pP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УТВЕРЖДЕНИИ МЕТОДИЧЕСКИХ УКАЗАНИЙ</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ПОРЯДКЕ ОЦЕНКИ ВЛИЯНИЯ ОТКАЗА ОТ ПЕРЕДАЧИ ОБЪЕКТОВ</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ЭЛЕКТРОСЕТЕВОГО ХОЗЯЙСТВА, ВХОДЯЩИХ В ЕДИНУЮ НАЦИОНАЛЬНУЮ</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(ОБЩЕРОССИЙСКУЮ) ЭЛЕКТРИЧЕСКУЮ СЕТЬ, В АРЕНДУ</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ТЕРРИТОРИАЛЬНЫМ СЕТЕВЫМ ОРГАНИЗАЦИЯМ НА УРОВЕНЬ ЦЕН</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(ТАРИФОВ) НА ЭЛЕКТРИЧЕСКУЮ ЭНЕРГИЮ (МОЩНОСТЬ)</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СУБЪЕКТАХ РОССИЙСКОЙ ФЕДЕРАЦИИ</w:t>
      </w:r>
    </w:p>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4"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jc w:val="center"/>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5" w:history="1">
        <w:r>
          <w:rPr>
            <w:rFonts w:ascii="Calibri" w:hAnsi="Calibri" w:cs="Calibri"/>
            <w:color w:val="0000FF"/>
          </w:rPr>
          <w:t>законом</w:t>
        </w:r>
      </w:hyperlink>
      <w:r>
        <w:rPr>
          <w:rFonts w:ascii="Calibri" w:hAnsi="Calibri" w:cs="Calibri"/>
        </w:rPr>
        <w:t xml:space="preserve"> от 26 марта 2003 г. N 35-ФЗ "Об электроэнергетике" (Собрание законодательства Российской Федерации, 2003, N 13, ст. 1177; 2004, N 35, ст. 3607; 2005, N 1 (часть I), ст. 37; 2006, N 52 (часть I), ст. 5498; 2007, N 45, ст. 5427; 2008, N 29 (часть I), ст. 3418; N 52 (часть I), ст. 6236; 2009, N 48, ст. 5711; 2010, N 11, ст. 1175; N 31, ст. 4156; N 31, ст. 4157; N 31, ст. 4158; N 31, ст. 4160; 2011, N 1, ст. 13; N 7, ст. 905; N 23, ст. 3263), </w:t>
      </w:r>
      <w:hyperlink r:id="rId6" w:history="1">
        <w:r>
          <w:rPr>
            <w:rFonts w:ascii="Calibri" w:hAnsi="Calibri" w:cs="Calibri"/>
            <w:color w:val="0000FF"/>
          </w:rPr>
          <w:t>Постановлением</w:t>
        </w:r>
      </w:hyperlink>
      <w:r>
        <w:rPr>
          <w:rFonts w:ascii="Calibri" w:hAnsi="Calibri" w:cs="Calibri"/>
        </w:rPr>
        <w:t xml:space="preserve"> Правительства Российской Федерации от 27 декабря 2010 г. N 1173 "О порядке согласования передачи объектов электросетевого хозяйства, входящих в единую национальную (общероссийскую) электрическую сеть, в аренду территориальным сетевым организациям" (Собрание законодательства Российской Федерации, 2011, N 23, ст. 3316), а также учитывая итоги рассмотрения данного вопроса на Правлении ФСТ России (протокол от 24 июня 2011 года N 38-э), приказываю:</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прилагаемые Методические </w:t>
      </w:r>
      <w:hyperlink w:anchor="Par33" w:history="1">
        <w:r>
          <w:rPr>
            <w:rFonts w:ascii="Calibri" w:hAnsi="Calibri" w:cs="Calibri"/>
            <w:color w:val="0000FF"/>
          </w:rPr>
          <w:t>указания</w:t>
        </w:r>
      </w:hyperlink>
      <w:r>
        <w:rPr>
          <w:rFonts w:ascii="Calibri" w:hAnsi="Calibri" w:cs="Calibri"/>
        </w:rPr>
        <w:t xml:space="preserve"> о порядке оценки влияния отказа от передачи объектов электросетевого хозяйства, входящих в единую национальную (общероссийскую) электрическую сеть, в аренду территориальным сетевым организациям на уровень цен (тарифов) на электрическую энергию (мощность) в субъектах Российской Федерации.</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Настоящий Приказ вступает в силу в установленном порядке.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right"/>
        <w:rPr>
          <w:rFonts w:ascii="Calibri" w:hAnsi="Calibri" w:cs="Calibri"/>
        </w:rPr>
      </w:pPr>
      <w:r>
        <w:rPr>
          <w:rFonts w:ascii="Calibri" w:hAnsi="Calibri" w:cs="Calibri"/>
        </w:rPr>
        <w:t>Руководитель</w:t>
      </w:r>
    </w:p>
    <w:p w:rsidR="002F5075" w:rsidRDefault="002F5075">
      <w:pPr>
        <w:widowControl w:val="0"/>
        <w:autoSpaceDE w:val="0"/>
        <w:autoSpaceDN w:val="0"/>
        <w:adjustRightInd w:val="0"/>
        <w:spacing w:after="0" w:line="240" w:lineRule="auto"/>
        <w:jc w:val="right"/>
        <w:rPr>
          <w:rFonts w:ascii="Calibri" w:hAnsi="Calibri" w:cs="Calibri"/>
        </w:rPr>
      </w:pPr>
      <w:r>
        <w:rPr>
          <w:rFonts w:ascii="Calibri" w:hAnsi="Calibri" w:cs="Calibri"/>
        </w:rPr>
        <w:t>Федеральной службы по тарифам</w:t>
      </w:r>
    </w:p>
    <w:p w:rsidR="002F5075" w:rsidRDefault="002F5075">
      <w:pPr>
        <w:widowControl w:val="0"/>
        <w:autoSpaceDE w:val="0"/>
        <w:autoSpaceDN w:val="0"/>
        <w:adjustRightInd w:val="0"/>
        <w:spacing w:after="0" w:line="240" w:lineRule="auto"/>
        <w:jc w:val="right"/>
        <w:rPr>
          <w:rFonts w:ascii="Calibri" w:hAnsi="Calibri" w:cs="Calibri"/>
        </w:rPr>
      </w:pPr>
      <w:r>
        <w:rPr>
          <w:rFonts w:ascii="Calibri" w:hAnsi="Calibri" w:cs="Calibri"/>
        </w:rPr>
        <w:t>С.НОВИКОВ</w:t>
      </w:r>
    </w:p>
    <w:p w:rsidR="002F5075" w:rsidRDefault="002F5075">
      <w:pPr>
        <w:widowControl w:val="0"/>
        <w:autoSpaceDE w:val="0"/>
        <w:autoSpaceDN w:val="0"/>
        <w:adjustRightInd w:val="0"/>
        <w:spacing w:after="0" w:line="240" w:lineRule="auto"/>
        <w:jc w:val="right"/>
        <w:rPr>
          <w:rFonts w:ascii="Calibri" w:hAnsi="Calibri" w:cs="Calibri"/>
        </w:rPr>
      </w:pPr>
    </w:p>
    <w:p w:rsidR="002F5075" w:rsidRDefault="002F5075">
      <w:pPr>
        <w:widowControl w:val="0"/>
        <w:autoSpaceDE w:val="0"/>
        <w:autoSpaceDN w:val="0"/>
        <w:adjustRightInd w:val="0"/>
        <w:spacing w:after="0" w:line="240" w:lineRule="auto"/>
        <w:jc w:val="right"/>
        <w:rPr>
          <w:rFonts w:ascii="Calibri" w:hAnsi="Calibri" w:cs="Calibri"/>
        </w:rPr>
      </w:pPr>
    </w:p>
    <w:p w:rsidR="002F5075" w:rsidRDefault="002F5075">
      <w:pPr>
        <w:widowControl w:val="0"/>
        <w:autoSpaceDE w:val="0"/>
        <w:autoSpaceDN w:val="0"/>
        <w:adjustRightInd w:val="0"/>
        <w:spacing w:after="0" w:line="240" w:lineRule="auto"/>
        <w:jc w:val="right"/>
        <w:rPr>
          <w:rFonts w:ascii="Calibri" w:hAnsi="Calibri" w:cs="Calibri"/>
        </w:rPr>
      </w:pPr>
    </w:p>
    <w:p w:rsidR="002F5075" w:rsidRDefault="002F5075">
      <w:pPr>
        <w:widowControl w:val="0"/>
        <w:autoSpaceDE w:val="0"/>
        <w:autoSpaceDN w:val="0"/>
        <w:adjustRightInd w:val="0"/>
        <w:spacing w:after="0" w:line="240" w:lineRule="auto"/>
        <w:jc w:val="right"/>
        <w:rPr>
          <w:rFonts w:ascii="Calibri" w:hAnsi="Calibri" w:cs="Calibri"/>
        </w:rPr>
      </w:pPr>
    </w:p>
    <w:p w:rsidR="002F5075" w:rsidRDefault="002F5075">
      <w:pPr>
        <w:widowControl w:val="0"/>
        <w:autoSpaceDE w:val="0"/>
        <w:autoSpaceDN w:val="0"/>
        <w:adjustRightInd w:val="0"/>
        <w:spacing w:after="0" w:line="240" w:lineRule="auto"/>
        <w:jc w:val="right"/>
        <w:rPr>
          <w:rFonts w:ascii="Calibri" w:hAnsi="Calibri" w:cs="Calibri"/>
        </w:rPr>
      </w:pPr>
    </w:p>
    <w:p w:rsidR="002F5075" w:rsidRDefault="002F5075">
      <w:pPr>
        <w:widowControl w:val="0"/>
        <w:autoSpaceDE w:val="0"/>
        <w:autoSpaceDN w:val="0"/>
        <w:adjustRightInd w:val="0"/>
        <w:spacing w:after="0" w:line="240" w:lineRule="auto"/>
        <w:jc w:val="right"/>
        <w:outlineLvl w:val="0"/>
        <w:rPr>
          <w:rFonts w:ascii="Calibri" w:hAnsi="Calibri" w:cs="Calibri"/>
        </w:rPr>
      </w:pPr>
      <w:bookmarkStart w:id="1" w:name="Par31"/>
      <w:bookmarkEnd w:id="1"/>
      <w:r>
        <w:rPr>
          <w:rFonts w:ascii="Calibri" w:hAnsi="Calibri" w:cs="Calibri"/>
        </w:rPr>
        <w:t>Приложение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b/>
          <w:bCs/>
        </w:rPr>
      </w:pPr>
      <w:bookmarkStart w:id="2" w:name="Par33"/>
      <w:bookmarkEnd w:id="2"/>
      <w:r>
        <w:rPr>
          <w:rFonts w:ascii="Calibri" w:hAnsi="Calibri" w:cs="Calibri"/>
          <w:b/>
          <w:bCs/>
        </w:rPr>
        <w:t>МЕТОДИЧЕСКИЕ УКАЗАНИЯ</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ПОРЯДКЕ ОЦЕНКИ ВЛИЯНИЯ ОТКАЗА ОТ ПЕРЕДАЧИ ОБЪЕКТОВ</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ЭЛЕКТРОСЕТЕВОГО ХОЗЯЙСТВА, ВХОДЯЩИХ В ЕДИНУЮ НАЦИОНАЛЬНУЮ</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(ОБЩЕРОССИЙСКУЮ) ЭЛЕКТРИЧЕСКУЮ СЕТЬ, В АРЕНДУ</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ТЕРРИТОРИАЛЬНЫМ СЕТЕВЫМ ОРГАНИЗАЦИЯМ НА УРОВЕНЬ ЦЕН</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(ТАРИФОВ) НА ЭЛЕКТРИЧЕСКУЮ ЭНЕРГИЮ (МОЩНОСТЬ)</w:t>
      </w:r>
    </w:p>
    <w:p w:rsidR="002F5075" w:rsidRDefault="002F50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СУБЪЕКТАХ РОССИЙСКОЙ ФЕДЕРАЦИИ</w:t>
      </w:r>
    </w:p>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lastRenderedPageBreak/>
        <w:t xml:space="preserve">(в ред. </w:t>
      </w:r>
      <w:hyperlink r:id="rId7"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jc w:val="center"/>
        <w:rPr>
          <w:rFonts w:ascii="Calibri" w:hAnsi="Calibri" w:cs="Calibri"/>
        </w:rPr>
      </w:pPr>
    </w:p>
    <w:p w:rsidR="002F5075" w:rsidRDefault="002F5075">
      <w:pPr>
        <w:widowControl w:val="0"/>
        <w:autoSpaceDE w:val="0"/>
        <w:autoSpaceDN w:val="0"/>
        <w:adjustRightInd w:val="0"/>
        <w:spacing w:after="0" w:line="240" w:lineRule="auto"/>
        <w:jc w:val="center"/>
        <w:outlineLvl w:val="1"/>
        <w:rPr>
          <w:rFonts w:ascii="Calibri" w:hAnsi="Calibri" w:cs="Calibri"/>
        </w:rPr>
      </w:pPr>
      <w:bookmarkStart w:id="3" w:name="Par43"/>
      <w:bookmarkEnd w:id="3"/>
      <w:r>
        <w:rPr>
          <w:rFonts w:ascii="Calibri" w:hAnsi="Calibri" w:cs="Calibri"/>
        </w:rPr>
        <w:t>I. Общие положения</w:t>
      </w:r>
    </w:p>
    <w:p w:rsidR="002F5075" w:rsidRDefault="002F5075">
      <w:pPr>
        <w:widowControl w:val="0"/>
        <w:autoSpaceDE w:val="0"/>
        <w:autoSpaceDN w:val="0"/>
        <w:adjustRightInd w:val="0"/>
        <w:spacing w:after="0" w:line="240" w:lineRule="auto"/>
        <w:jc w:val="center"/>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Настоящие Методические указания о порядке оценки влияния отказа от передачи объектов электросетевого хозяйства, входящих в единую национальную (общероссийскую) электрическую сеть (далее - ЕНЭС), в аренду территориальным сетевым организациям (далее - ТСО) на уровень цен (тарифов) на электрическую энергию (мощность) (далее - "последняя миля") в субъектах Российской Федерации разработаны в соответствии с </w:t>
      </w:r>
      <w:hyperlink r:id="rId8" w:history="1">
        <w:r>
          <w:rPr>
            <w:rFonts w:ascii="Calibri" w:hAnsi="Calibri" w:cs="Calibri"/>
            <w:color w:val="0000FF"/>
          </w:rPr>
          <w:t>п. 4</w:t>
        </w:r>
      </w:hyperlink>
      <w:r>
        <w:rPr>
          <w:rFonts w:ascii="Calibri" w:hAnsi="Calibri" w:cs="Calibri"/>
        </w:rPr>
        <w:t xml:space="preserve"> Постановления Правительства Российской Федерации от 27 декабря 2010 г. N 1173 "О порядке согласования передачи объектов электросетевого хозяйства, входящих в единую национальную (общероссийскую) электрическую сеть, в аренду территориальным сетевым организациям" (Собрание законодательства Российской Федерации, 2011, N 23, ст. 3316).</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Данные Методические указания предназначены для использования органами исполнительной власти субъектов Российской Федерации в области государственного регулирования тарифов, территориальными сетевыми организациями для проведения оценки влияния отказа от передачи объектов электросетевого хозяйства, входящих в единую национальную (общероссийскую) электрическую сеть, в аренду территориальным сетевым организациям на уровень цен (тарифов) на электрическую энергию (мощность) в субъектах Российской Федерации.</w:t>
      </w:r>
    </w:p>
    <w:p w:rsidR="002F5075" w:rsidRDefault="002F5075">
      <w:pPr>
        <w:widowControl w:val="0"/>
        <w:autoSpaceDE w:val="0"/>
        <w:autoSpaceDN w:val="0"/>
        <w:adjustRightInd w:val="0"/>
        <w:spacing w:after="0" w:line="240" w:lineRule="auto"/>
        <w:jc w:val="center"/>
        <w:rPr>
          <w:rFonts w:ascii="Calibri" w:hAnsi="Calibri" w:cs="Calibri"/>
        </w:rPr>
      </w:pPr>
    </w:p>
    <w:p w:rsidR="002F5075" w:rsidRDefault="002F5075">
      <w:pPr>
        <w:widowControl w:val="0"/>
        <w:autoSpaceDE w:val="0"/>
        <w:autoSpaceDN w:val="0"/>
        <w:adjustRightInd w:val="0"/>
        <w:spacing w:after="0" w:line="240" w:lineRule="auto"/>
        <w:jc w:val="center"/>
        <w:outlineLvl w:val="1"/>
        <w:rPr>
          <w:rFonts w:ascii="Calibri" w:hAnsi="Calibri" w:cs="Calibri"/>
        </w:rPr>
      </w:pPr>
      <w:bookmarkStart w:id="4" w:name="Par48"/>
      <w:bookmarkEnd w:id="4"/>
      <w:r>
        <w:rPr>
          <w:rFonts w:ascii="Calibri" w:hAnsi="Calibri" w:cs="Calibri"/>
        </w:rPr>
        <w:t>II. Порядок оценки влияния отказа от передачи объектов</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электросетевого хозяйства, входящих в единую национальную</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(общероссийскую) электрическую сеть, в аренду</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территориальным сетевым организациям на уровень цен</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(тарифов) на электрическую энергию (мощность)</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в субъектах Российской Федерации</w:t>
      </w:r>
    </w:p>
    <w:p w:rsidR="002F5075" w:rsidRDefault="002F5075">
      <w:pPr>
        <w:widowControl w:val="0"/>
        <w:autoSpaceDE w:val="0"/>
        <w:autoSpaceDN w:val="0"/>
        <w:adjustRightInd w:val="0"/>
        <w:spacing w:after="0" w:line="240" w:lineRule="auto"/>
        <w:jc w:val="center"/>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оценки влияния отказа от передачи каждого объекта и всех предлагаемых к передаче в аренду территориальным сетевым организациям объектов на территории субъекта Российской Федерации на уровень цен (тарифов) на электрическую энергию (мощность) в субъекте Российской Федерации определяется:</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процент роста цен (тарифов) на электрическую энергию (мощность) в очередном году для конечных потребителей на каждом уровне напряжения (за исключением потребителей, которые непосредственно присоединены к объектам, планируемым к передаче в аренду соответствующей территориальной сетевой организации), которым напрямую или через энергосбытовую (энергоснабжающую) организацию (гарантирующего поставщика) оказываются услуги по передаче электрической энергии территориальными сетевыми организациями.</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Расчет оценки величины роста цены (тарифа) конечных потребителей вследствие отказа от передачи объектов электросетевого хозяйства, входящих в ЕНЭС, в аренду территориальным сетевым организациям на уровень цен (тарифов) на электрическую энергию (мощность) в субъектах Российской Федерации, осуществляется на основании расчета единых (котловых) тарифов на услуги по передаче, производимых в соответствии с Методическими </w:t>
      </w:r>
      <w:hyperlink r:id="rId9" w:history="1">
        <w:r>
          <w:rPr>
            <w:rFonts w:ascii="Calibri" w:hAnsi="Calibri" w:cs="Calibri"/>
            <w:color w:val="0000FF"/>
          </w:rPr>
          <w:t>указаниями</w:t>
        </w:r>
      </w:hyperlink>
      <w:r>
        <w:rPr>
          <w:rFonts w:ascii="Calibri" w:hAnsi="Calibri" w:cs="Calibri"/>
        </w:rPr>
        <w:t xml:space="preserve"> по расчету регулируемых тарифов и цен на электрическую (тепловую) энергию на розничном (потребительском) рынке, утвержденными Приказом ФСТ России от 06.08.2004 N 20-э/2 (зарегистрировано Минюстом России 20.10.2004, регистрационный N 6076), с изменениями, внесенными Приказами ФСТ России от 23.11.2004 N 193-э/11(зарегистрировано Минюстом России 16.12.2004, регистрационный N 6191), от 14.12.2004 N 289-э/15 (зарегистрировано Минюстом России 21.12.2004, регистрационный N 6213), от 28.11.2006 N 318-э/15 (зарегистрировано Минюстом России 08.12.2006, регистрационный N 8574), от 30.01.2007 N 14-э/14 (зарегистрировано Минюстом России 06.03.2007, регистрационный N 9041), от 31.07.2007 N 138-э/6 (зарегистрировано Минюстом России 20.08.2007, регистрационный N 10030), от 23.11.2007 N 385-э/1 (зарегистрировано Минюстом России 29.11.2007, регистрационный N 10578), от 21.10.2008 N 209-э/1 (зарегистрировано Минюстом России 06.11.2008, регистрационный N 12580), от </w:t>
      </w:r>
      <w:r>
        <w:rPr>
          <w:rFonts w:ascii="Calibri" w:hAnsi="Calibri" w:cs="Calibri"/>
        </w:rPr>
        <w:lastRenderedPageBreak/>
        <w:t>22.12.2009 N 469-э/8 (зарегистрировано Минюстом России 29.01.2010, регистрационный N 16132), от 31.12.2009 N 558-э/1 (зарегистрировано Минюстом России 09.02.2010, регистрационный N 16345) (далее - Методические указания).</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Оценка величины роста рассчитывается, исходя из одноставочных цен (тарифов) на электрическую энергию (мощность). Оценка величин роста для 2011 года считается на основании данных текущего 2011 года. Оценка величины роста для последующих (расчетных) периодов производится в условиях текущего года.</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Расчет роста тарифа на услуги по передаче по каждому уровню напряжения для конечных потребителей вследствие отказа от "последней мили" в субъектах Российской Федерации осуществляется региональными органами исполнительной власти в области регулирования тарифов.</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Расчет единых (котловых) тарифов на услуги по передаче для оценки роста цен (тарифов) на электрическую энергию (мощность) осуществляется в нескольких вариантах:</w:t>
      </w:r>
    </w:p>
    <w:p w:rsidR="002F5075" w:rsidRDefault="002F5075">
      <w:pPr>
        <w:widowControl w:val="0"/>
        <w:autoSpaceDE w:val="0"/>
        <w:autoSpaceDN w:val="0"/>
        <w:adjustRightInd w:val="0"/>
        <w:spacing w:after="0" w:line="240" w:lineRule="auto"/>
        <w:ind w:firstLine="540"/>
        <w:jc w:val="both"/>
        <w:rPr>
          <w:rFonts w:ascii="Calibri" w:hAnsi="Calibri" w:cs="Calibri"/>
        </w:rPr>
      </w:pPr>
      <w:bookmarkStart w:id="5" w:name="Par61"/>
      <w:bookmarkEnd w:id="5"/>
      <w:r>
        <w:rPr>
          <w:rFonts w:ascii="Calibri" w:hAnsi="Calibri" w:cs="Calibri"/>
        </w:rPr>
        <w:t>а) при условии сохранения последней мили.</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этом случае берутся установленные котловые (единые) тарифы на услуги по передаче на текущий период;</w:t>
      </w:r>
    </w:p>
    <w:p w:rsidR="002F5075" w:rsidRDefault="002F5075">
      <w:pPr>
        <w:widowControl w:val="0"/>
        <w:autoSpaceDE w:val="0"/>
        <w:autoSpaceDN w:val="0"/>
        <w:adjustRightInd w:val="0"/>
        <w:spacing w:after="0" w:line="240" w:lineRule="auto"/>
        <w:ind w:firstLine="540"/>
        <w:jc w:val="both"/>
        <w:rPr>
          <w:rFonts w:ascii="Calibri" w:hAnsi="Calibri" w:cs="Calibri"/>
        </w:rPr>
      </w:pPr>
      <w:bookmarkStart w:id="6" w:name="Par63"/>
      <w:bookmarkEnd w:id="6"/>
      <w:r>
        <w:rPr>
          <w:rFonts w:ascii="Calibri" w:hAnsi="Calibri" w:cs="Calibri"/>
        </w:rPr>
        <w:t>б) при условии отказа ТСО от аренды всех объектов "последней мили".</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Расчет производится с учетом перераспределения оплаты услуг ОАО "ФСК ЕЭС" между ТСО и всеми потребителями, присоединенными к объектам "последней мили", а также с учетом снижения заявленной мощности и полезного отпуска оставшихся потребителей ТСО в субъекте Российской Федерации и при неизменных утвержденных тарифах для группы "население" и приравненных к нему категорий (далее - население);</w:t>
      </w:r>
    </w:p>
    <w:p w:rsidR="002F5075" w:rsidRDefault="002F5075">
      <w:pPr>
        <w:widowControl w:val="0"/>
        <w:autoSpaceDE w:val="0"/>
        <w:autoSpaceDN w:val="0"/>
        <w:adjustRightInd w:val="0"/>
        <w:spacing w:after="0" w:line="240" w:lineRule="auto"/>
        <w:ind w:firstLine="540"/>
        <w:jc w:val="both"/>
        <w:rPr>
          <w:rFonts w:ascii="Calibri" w:hAnsi="Calibri" w:cs="Calibri"/>
        </w:rPr>
      </w:pPr>
      <w:bookmarkStart w:id="7" w:name="Par65"/>
      <w:bookmarkEnd w:id="7"/>
      <w:r>
        <w:rPr>
          <w:rFonts w:ascii="Calibri" w:hAnsi="Calibri" w:cs="Calibri"/>
        </w:rPr>
        <w:t>в) при условии отказа от передачи отдельного объекта "последней мили", согласно заявлениям, представленным Министерством энергетики Российской Федерации.</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Расчет производится с учетом перераспределения оплаты услуг ОАО "ФСК ЕЭС" между ТСО и потребителем, присоединенным к объекту "последней мили", а также с учетом снижения заявленной мощности и полезного отпуска оставшихся потребителей ТСО в субъекте РФ и при неизменных утвержденных тарифах для группы "население".</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потребитель, присоединенный к объекту "последней мили", присоединен одновременно как к сетям ОАО "ФСК ЕЭС", так и к сетям ТСО, то его мощность, учитываемая органом регулирования при расчете тарифов на услуги по передаче, и полезный отпуск согласно сводному прогнозному балансу производства и поставок электрической энергии (мощности) в рамках Единой энергетической системы России по субъектам Российской Федерации разбиваются пропорционально фактическим данным за 3 года, представленным Минэнерго России.</w:t>
      </w:r>
    </w:p>
    <w:p w:rsidR="002F5075" w:rsidRDefault="002F50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0"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Для расчета по </w:t>
      </w:r>
      <w:hyperlink w:anchor="Par63" w:history="1">
        <w:r>
          <w:rPr>
            <w:rFonts w:ascii="Calibri" w:hAnsi="Calibri" w:cs="Calibri"/>
            <w:color w:val="0000FF"/>
          </w:rPr>
          <w:t>варианту б</w:t>
        </w:r>
      </w:hyperlink>
      <w:r>
        <w:rPr>
          <w:rFonts w:ascii="Calibri" w:hAnsi="Calibri" w:cs="Calibri"/>
        </w:rPr>
        <w:t xml:space="preserve">) и </w:t>
      </w:r>
      <w:hyperlink w:anchor="Par65" w:history="1">
        <w:r>
          <w:rPr>
            <w:rFonts w:ascii="Calibri" w:hAnsi="Calibri" w:cs="Calibri"/>
            <w:color w:val="0000FF"/>
          </w:rPr>
          <w:t>в) пункта 7</w:t>
        </w:r>
      </w:hyperlink>
      <w:r>
        <w:rPr>
          <w:rFonts w:ascii="Calibri" w:hAnsi="Calibri" w:cs="Calibri"/>
        </w:rPr>
        <w:t xml:space="preserve"> берутся следующие </w:t>
      </w:r>
      <w:r>
        <w:rPr>
          <w:rFonts w:ascii="Calibri" w:hAnsi="Calibri" w:cs="Calibri"/>
          <w:position w:val="-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85pt;height:16.35pt">
            <v:imagedata r:id="rId11" o:title=""/>
          </v:shape>
        </w:pict>
      </w:r>
      <w:r>
        <w:rPr>
          <w:rFonts w:ascii="Calibri" w:hAnsi="Calibri" w:cs="Calibri"/>
        </w:rPr>
        <w:t xml:space="preserve"> сетевых организаций:</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26" type="#_x0000_t75" style="width:40.85pt;height:16.35pt">
            <v:imagedata r:id="rId11" o:title=""/>
          </v:shape>
        </w:pict>
      </w:r>
      <w:r>
        <w:rPr>
          <w:rFonts w:ascii="Calibri" w:hAnsi="Calibri" w:cs="Calibri"/>
        </w:rPr>
        <w:t xml:space="preserve"> - суммарный расчетный объем необходимой валовой выручки ТСО субъекта РФ после расторжения договоров "последней мили", равен:</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14"/>
        </w:rPr>
        <w:pict>
          <v:shape id="_x0000_i1027" type="#_x0000_t75" style="width:148.6pt;height:23.5pt">
            <v:imagedata r:id="rId12" o:title=""/>
          </v:shape>
        </w:pict>
      </w:r>
      <w:r>
        <w:rPr>
          <w:rFonts w:ascii="Calibri" w:hAnsi="Calibri" w:cs="Calibri"/>
        </w:rPr>
        <w:t>, (руб.), (1)</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12"/>
        </w:rPr>
        <w:pict>
          <v:shape id="_x0000_i1028" type="#_x0000_t75" style="width:152.15pt;height:22.45pt">
            <v:imagedata r:id="rId13" o:title=""/>
          </v:shape>
        </w:pict>
      </w:r>
      <w:r>
        <w:rPr>
          <w:rFonts w:ascii="Calibri" w:hAnsi="Calibri" w:cs="Calibri"/>
        </w:rPr>
        <w:t>, (руб.), (2)</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30"/>
        </w:rPr>
        <w:pict>
          <v:shape id="_x0000_i1029" type="#_x0000_t75" style="width:192pt;height:37.3pt">
            <v:imagedata r:id="rId14" o:title=""/>
          </v:shape>
        </w:pict>
      </w:r>
      <w:r>
        <w:rPr>
          <w:rFonts w:ascii="Calibri" w:hAnsi="Calibri" w:cs="Calibri"/>
        </w:rPr>
        <w:t>, (руб.), (2.1)</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lastRenderedPageBreak/>
        <w:pict>
          <v:shape id="_x0000_i1030" type="#_x0000_t75" style="width:31.15pt;height:18.9pt">
            <v:imagedata r:id="rId15" o:title=""/>
          </v:shape>
        </w:pict>
      </w:r>
      <w:r>
        <w:rPr>
          <w:rFonts w:ascii="Calibri" w:hAnsi="Calibri" w:cs="Calibri"/>
        </w:rPr>
        <w:t xml:space="preserve"> - мощность, учитываемая органом регулирования при расчете тарифов на услуги по передаче, всех потребителей, присоединенных к объектам "последней мили", в варианте расчета б), или конкретного потребителя, присоединенного к объекту "последней мили", в варианте расчета в), учтенная органом исполнительной власти субъекта Российской Федерации в области государственного регулирования тарифов при установлении тарифов на услуги по передаче на текущий период регулирования, согласно сводному прогнозному балансу производства и поставок электрической энергии (мощности) в рамках ЕНЭС России по субъектам Российской Федерации (далее - сводный прогнозный баланс) (в случае отсутствия данных - принимаются объемы, представленные Минэнерго России с указанием источника получения данных), МВт,</w:t>
      </w:r>
    </w:p>
    <w:p w:rsidR="002F5075" w:rsidRDefault="002F50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6"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31" type="#_x0000_t75" style="width:31.15pt;height:18.4pt">
            <v:imagedata r:id="rId17" o:title=""/>
          </v:shape>
        </w:pict>
      </w:r>
      <w:r>
        <w:rPr>
          <w:rFonts w:ascii="Calibri" w:hAnsi="Calibri" w:cs="Calibri"/>
        </w:rPr>
        <w:t xml:space="preserve"> - мощность, учитываемая органом регулирования при расчете тарифов на услуги по передаче, всех конечных потребителей, присоединенных к сетям ТСО, включая потребителей, присоединенных к объектам "последней мили", учтенная органом исполнительной власти субъекта Российской Федерации в области государственного регулирования тарифов при установлении тарифов на услуги по передаче на текущий период регулирования, согласно сводному прогнозному балансу (МВт).</w:t>
      </w:r>
    </w:p>
    <w:p w:rsidR="002F5075" w:rsidRDefault="002F50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18"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 - объемы поставки электрической энергии потребителям, присоединенным к сетям ТСО, включая потребителей, присоединенных к объектам "последней мили", учтенные региональным органом исполнительной власти субъекта Российской Федерации в области регулирования тарифов при установлении тарифов на текущий период регулирования согласно сводному прогнозному балансу (МВтч).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32" type="#_x0000_t75" style="width:25.55pt;height:16.35pt">
            <v:imagedata r:id="rId19" o:title=""/>
          </v:shape>
        </w:pict>
      </w:r>
      <w:r>
        <w:rPr>
          <w:rFonts w:ascii="Calibri" w:hAnsi="Calibri" w:cs="Calibri"/>
        </w:rPr>
        <w:t xml:space="preserve"> - объемы поставки электрической энергии потребителям, присоединенным к объектам "последней мили", учтенные региональным органом исполнительной власти субъекта Российской Федерации в области государственного регулирования тарифов при установлении тарифов на текущий период регулирования согласно сводному прогнозному балансу (в случае отсутствия данных - принимаются объемы, представленные Минэнерго России с указанием источника получения данных) (МВтч),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33" type="#_x0000_t75" style="width:33.2pt;height:19.4pt">
            <v:imagedata r:id="rId20" o:title=""/>
          </v:shape>
        </w:pict>
      </w:r>
      <w:r>
        <w:rPr>
          <w:rFonts w:ascii="Calibri" w:hAnsi="Calibri" w:cs="Calibri"/>
        </w:rPr>
        <w:t xml:space="preserve"> - расходы на оплату услуг ОАО "ФСК ЕЭС", в части содержания сетей, учтенные органом исполнительной власти субъекта Российской Федерации в области регулирования тарифов при установлении тарифов на услуги по передаче электрической энергии на текущий период регулирования (руб.);</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34" type="#_x0000_t75" style="width:33.2pt;height:19.4pt">
            <v:imagedata r:id="rId21" o:title=""/>
          </v:shape>
        </w:pict>
      </w:r>
      <w:r>
        <w:rPr>
          <w:rFonts w:ascii="Calibri" w:hAnsi="Calibri" w:cs="Calibri"/>
        </w:rPr>
        <w:t xml:space="preserve"> - расходы на содержание сетей ТСО, учтенные органом исполнительной власти субъекта Российской Федерации в области регулирования тарифов при установлении тарифов на услуги по передаче электрической энергии на текущий период регулирования (руб.);</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35" type="#_x0000_t75" style="width:26.05pt;height:18.9pt">
            <v:imagedata r:id="rId22" o:title=""/>
          </v:shape>
        </w:pict>
      </w:r>
      <w:r>
        <w:rPr>
          <w:rFonts w:ascii="Calibri" w:hAnsi="Calibri" w:cs="Calibri"/>
        </w:rPr>
        <w:t xml:space="preserve"> - расходы на оплату услуг ОАО "ФСК ЕЭС" в части оплаты потерь электрической энергии, учтенные органом исполнительной власти субъекта Российской Федерации в области регулирования тарифов при установлении тарифов на услуги по передаче электрической энергии на текущий период регулирования (руб.);</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36" type="#_x0000_t75" style="width:25.55pt;height:18.9pt">
            <v:imagedata r:id="rId23" o:title=""/>
          </v:shape>
        </w:pict>
      </w:r>
      <w:r>
        <w:rPr>
          <w:rFonts w:ascii="Calibri" w:hAnsi="Calibri" w:cs="Calibri"/>
        </w:rPr>
        <w:t xml:space="preserve"> - расходы на покупку потерь электрической энергии ТСО, учтенные органом исполнительной власти субъекта в области регулирования тарифов при установлении тарифов на услуги по передаче электрической энергии на текущий период регулирования (руб.);</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37" type="#_x0000_t75" style="width:26.05pt;height:16.35pt">
            <v:imagedata r:id="rId24" o:title=""/>
          </v:shape>
        </w:pict>
      </w:r>
      <w:r>
        <w:rPr>
          <w:rFonts w:ascii="Calibri" w:hAnsi="Calibri" w:cs="Calibri"/>
        </w:rPr>
        <w:t xml:space="preserve"> - уменьшенные расходы ТСО на оплату услуг ОАО "ФСК ЕЭС" после расторжения договоров "последней мили" (руб.);</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38" type="#_x0000_t75" style="width:41.35pt;height:18.9pt">
            <v:imagedata r:id="rId25" o:title=""/>
          </v:shape>
        </w:pict>
      </w:r>
      <w:r>
        <w:rPr>
          <w:rFonts w:ascii="Calibri" w:hAnsi="Calibri" w:cs="Calibri"/>
        </w:rPr>
        <w:t xml:space="preserve"> - суммарный объем необходимой валовой выручки, полученной от оказания услуг по передаче электрической энергии по объектам, присоединенным к "последней миле" (руб.).</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Процент роста тарифа на услуги по передаче для конечных потребителей, кроме населения, по каждому i уровню напряжения рассчитывается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38"/>
        </w:rPr>
        <w:lastRenderedPageBreak/>
        <w:pict>
          <v:shape id="_x0000_i1039" type="#_x0000_t75" style="width:106.2pt;height:44.45pt">
            <v:imagedata r:id="rId26" o:title=""/>
          </v:shape>
        </w:pict>
      </w:r>
      <w:r>
        <w:rPr>
          <w:rFonts w:ascii="Calibri" w:hAnsi="Calibri" w:cs="Calibri"/>
        </w:rPr>
        <w:t>, (%) (3)</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40" type="#_x0000_t75" style="width:22.45pt;height:18.9pt">
            <v:imagedata r:id="rId27" o:title=""/>
          </v:shape>
        </w:pict>
      </w:r>
      <w:r>
        <w:rPr>
          <w:rFonts w:ascii="Calibri" w:hAnsi="Calibri" w:cs="Calibri"/>
        </w:rPr>
        <w:t xml:space="preserve"> - одноставочный единый (котловой) тариф на услуги по передаче электрической энергии на i-м уровне напряжения, рассчитанный органом исполнительной власти в области регулирования тарифов по варианту расчета </w:t>
      </w:r>
      <w:hyperlink w:anchor="Par63" w:history="1">
        <w:r>
          <w:rPr>
            <w:rFonts w:ascii="Calibri" w:hAnsi="Calibri" w:cs="Calibri"/>
            <w:color w:val="0000FF"/>
          </w:rPr>
          <w:t>б</w:t>
        </w:r>
      </w:hyperlink>
      <w:r>
        <w:rPr>
          <w:rFonts w:ascii="Calibri" w:hAnsi="Calibri" w:cs="Calibri"/>
        </w:rPr>
        <w:t xml:space="preserve">) или </w:t>
      </w:r>
      <w:hyperlink w:anchor="Par65" w:history="1">
        <w:r>
          <w:rPr>
            <w:rFonts w:ascii="Calibri" w:hAnsi="Calibri" w:cs="Calibri"/>
            <w:color w:val="0000FF"/>
          </w:rPr>
          <w:t>в) пункта 7</w:t>
        </w:r>
      </w:hyperlink>
      <w:r>
        <w:rPr>
          <w:rFonts w:ascii="Calibri" w:hAnsi="Calibri" w:cs="Calibri"/>
        </w:rPr>
        <w:t xml:space="preserve">, с учетом положений </w:t>
      </w:r>
      <w:hyperlink w:anchor="Par130" w:history="1">
        <w:r>
          <w:rPr>
            <w:rFonts w:ascii="Calibri" w:hAnsi="Calibri" w:cs="Calibri"/>
            <w:color w:val="0000FF"/>
          </w:rPr>
          <w:t>пункта 12</w:t>
        </w:r>
      </w:hyperlink>
      <w:r>
        <w:rPr>
          <w:rFonts w:ascii="Calibri" w:hAnsi="Calibri" w:cs="Calibri"/>
        </w:rPr>
        <w:t>;</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41" type="#_x0000_t75" style="width:22.45pt;height:18.9pt">
            <v:imagedata r:id="rId28" o:title=""/>
          </v:shape>
        </w:pict>
      </w:r>
      <w:r>
        <w:rPr>
          <w:rFonts w:ascii="Calibri" w:hAnsi="Calibri" w:cs="Calibri"/>
        </w:rPr>
        <w:t xml:space="preserve"> - одноставочный единый (котловой) тариф на услуги по передаче электрической энергии на i-м уровне напряжения, утвержденный органом исполнительной власти субъекта Российской Федерации в области регулирования тарифов на текущий период регулирования.</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Данные расчетов помещаются в </w:t>
      </w:r>
      <w:hyperlink w:anchor="Par178" w:history="1">
        <w:r>
          <w:rPr>
            <w:rFonts w:ascii="Calibri" w:hAnsi="Calibri" w:cs="Calibri"/>
            <w:color w:val="0000FF"/>
          </w:rPr>
          <w:t>Приложение 1</w:t>
        </w:r>
      </w:hyperlink>
      <w:r>
        <w:rPr>
          <w:rFonts w:ascii="Calibri" w:hAnsi="Calibri" w:cs="Calibri"/>
        </w:rPr>
        <w:t>.</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Процент роста тарифа на услуги по передаче электрической энергии по группе "прочие" в субъекте Российской Федерации рассчитывается по каждому i уровню напряжения,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54"/>
        </w:rPr>
        <w:pict>
          <v:shape id="_x0000_i1042" type="#_x0000_t75" style="width:305.85pt;height:60.25pt">
            <v:imagedata r:id="rId29" o:title=""/>
          </v:shape>
        </w:pict>
      </w:r>
      <w:r>
        <w:rPr>
          <w:rFonts w:ascii="Calibri" w:hAnsi="Calibri" w:cs="Calibri"/>
        </w:rPr>
        <w:t>, (%) где (4)</w:t>
      </w:r>
    </w:p>
    <w:p w:rsidR="002F5075" w:rsidRDefault="002F5075">
      <w:pPr>
        <w:widowControl w:val="0"/>
        <w:autoSpaceDE w:val="0"/>
        <w:autoSpaceDN w:val="0"/>
        <w:adjustRightInd w:val="0"/>
        <w:spacing w:after="0" w:line="240" w:lineRule="auto"/>
        <w:jc w:val="center"/>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12"/>
        </w:rPr>
        <w:pict>
          <v:shape id="_x0000_i1043" type="#_x0000_t75" style="width:89.85pt;height:18.9pt">
            <v:imagedata r:id="rId30" o:title=""/>
          </v:shape>
        </w:pict>
      </w:r>
      <w:r>
        <w:rPr>
          <w:rFonts w:ascii="Calibri" w:hAnsi="Calibri" w:cs="Calibri"/>
        </w:rPr>
        <w:t>, (МВтч) (5)</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44" type="#_x0000_t75" style="width:13.3pt;height:18.4pt">
            <v:imagedata r:id="rId31" o:title=""/>
          </v:shape>
        </w:pict>
      </w:r>
      <w:r>
        <w:rPr>
          <w:rFonts w:ascii="Calibri" w:hAnsi="Calibri" w:cs="Calibri"/>
        </w:rPr>
        <w:t xml:space="preserve"> - объем поставки электрической энергии на i уровне напряжения потребителям, присоединенным к сетям ТСО, включая потребителей, присоединенных к объектам "последней мили", учтенные региональным органом исполнительной власти субъекта Российской Федерации в области регулирования тарифов при установлении тарифов на текущий период регулирования согласно сводного прогнозного баланса (МВтч);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45" type="#_x0000_t75" style="width:25.55pt;height:18.9pt">
            <v:imagedata r:id="rId32" o:title=""/>
          </v:shape>
        </w:pict>
      </w:r>
      <w:r>
        <w:rPr>
          <w:rFonts w:ascii="Calibri" w:hAnsi="Calibri" w:cs="Calibri"/>
        </w:rPr>
        <w:t xml:space="preserve"> - объем поставки электрической энергии на i уровне напряжения потребителям, присоединенным к объектам "последней мили" (МВтч);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46" type="#_x0000_t75" style="width:23.5pt;height:18.9pt">
            <v:imagedata r:id="rId33" o:title=""/>
          </v:shape>
        </w:pict>
      </w:r>
      <w:r>
        <w:rPr>
          <w:rFonts w:ascii="Calibri" w:hAnsi="Calibri" w:cs="Calibri"/>
        </w:rPr>
        <w:t xml:space="preserve"> - объем поставки электрической энергии на i уровне напряжения населению, согласно сводного прогнозного баланса на текущий период, учтенный органом исполнительной власти субъекта Российской Федерации в области государственного регулирования тарифов (МВтч);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47" type="#_x0000_t75" style="width:33.2pt;height:18.9pt">
            <v:imagedata r:id="rId34" o:title=""/>
          </v:shape>
        </w:pict>
      </w:r>
      <w:r>
        <w:rPr>
          <w:rFonts w:ascii="Calibri" w:hAnsi="Calibri" w:cs="Calibri"/>
        </w:rPr>
        <w:t xml:space="preserve"> - объем поставки электрической энергии на i уровне напряжения всем потребителям, присоединенным к сетям ТСО, за исключением объемов потребителей, присоединенных к объектам "последней мили" в субъекте Российской Федерации (МВтч).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Расчет изменения цены (тарифа) на электрическую энергию (мощность) для конечных потребителей в субъекте Российской Федерации по уровням напряжения и категориям потребителей при расторжении договоров "последней мили" производится следующим образом.</w:t>
      </w:r>
    </w:p>
    <w:p w:rsidR="002F5075" w:rsidRDefault="002F50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 ред. </w:t>
      </w:r>
      <w:hyperlink r:id="rId35"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11.1. Для ценовых зон оптового рынка электрической энергии.</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Расчет прогнозных предельных уровней нерегулируемых цен на электрическую энергию (мощность) для конечных потребителей ценовых зон оптового рынка по каждой ценовой категории и каждому уровню напряжения определяются в соответствии с </w:t>
      </w:r>
      <w:hyperlink r:id="rId36" w:history="1">
        <w:r>
          <w:rPr>
            <w:rFonts w:ascii="Calibri" w:hAnsi="Calibri" w:cs="Calibri"/>
            <w:color w:val="0000FF"/>
          </w:rPr>
          <w:t>Правилами</w:t>
        </w:r>
      </w:hyperlink>
      <w:r>
        <w:rPr>
          <w:rFonts w:ascii="Calibri" w:hAnsi="Calibri" w:cs="Calibri"/>
        </w:rPr>
        <w:t xml:space="preserve"> определения и применения гарантирующими поставщиками нерегулируемых цен на электрическую энергию (мощность), утвержденные постановлением Правительства Российской Федерации от 29 декабря 2011 г. N 1179 (Собрание законодательства Российской Федерации, 2012, N 4, ст. 505; N 23, ст. 3008).</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в расчетах используется </w:t>
      </w:r>
      <w:r>
        <w:rPr>
          <w:rFonts w:ascii="Calibri" w:hAnsi="Calibri" w:cs="Calibri"/>
          <w:position w:val="-14"/>
        </w:rPr>
        <w:pict>
          <v:shape id="_x0000_i1048" type="#_x0000_t75" style="width:27.05pt;height:20.45pt">
            <v:imagedata r:id="rId37" o:title=""/>
          </v:shape>
        </w:pict>
      </w:r>
      <w:r>
        <w:rPr>
          <w:rFonts w:ascii="Calibri" w:hAnsi="Calibri" w:cs="Calibri"/>
        </w:rPr>
        <w:t xml:space="preserve"> - одноставочный единый (котловой) тариф на услуги по передаче на i-м уровне напряжения, равный </w:t>
      </w:r>
      <w:r>
        <w:rPr>
          <w:rFonts w:ascii="Calibri" w:hAnsi="Calibri" w:cs="Calibri"/>
          <w:position w:val="-12"/>
        </w:rPr>
        <w:pict>
          <v:shape id="_x0000_i1049" type="#_x0000_t75" style="width:21.45pt;height:18.9pt">
            <v:imagedata r:id="rId38" o:title=""/>
          </v:shape>
        </w:pict>
      </w:r>
      <w:r>
        <w:rPr>
          <w:rFonts w:ascii="Calibri" w:hAnsi="Calibri" w:cs="Calibri"/>
        </w:rPr>
        <w:t xml:space="preserve"> для варианта расчета </w:t>
      </w:r>
      <w:hyperlink w:anchor="Par61" w:history="1">
        <w:r>
          <w:rPr>
            <w:rFonts w:ascii="Calibri" w:hAnsi="Calibri" w:cs="Calibri"/>
            <w:color w:val="0000FF"/>
          </w:rPr>
          <w:t>а) пункта 7</w:t>
        </w:r>
      </w:hyperlink>
      <w:r>
        <w:rPr>
          <w:rFonts w:ascii="Calibri" w:hAnsi="Calibri" w:cs="Calibri"/>
        </w:rPr>
        <w:t xml:space="preserve"> или </w:t>
      </w:r>
      <w:r>
        <w:rPr>
          <w:rFonts w:ascii="Calibri" w:hAnsi="Calibri" w:cs="Calibri"/>
          <w:position w:val="-12"/>
        </w:rPr>
        <w:pict>
          <v:shape id="_x0000_i1050" type="#_x0000_t75" style="width:21.45pt;height:18.9pt">
            <v:imagedata r:id="rId39" o:title=""/>
          </v:shape>
        </w:pict>
      </w:r>
      <w:r>
        <w:rPr>
          <w:rFonts w:ascii="Calibri" w:hAnsi="Calibri" w:cs="Calibri"/>
        </w:rPr>
        <w:t xml:space="preserve"> </w:t>
      </w:r>
      <w:r>
        <w:rPr>
          <w:rFonts w:ascii="Calibri" w:hAnsi="Calibri" w:cs="Calibri"/>
        </w:rPr>
        <w:lastRenderedPageBreak/>
        <w:t xml:space="preserve">для вариантов </w:t>
      </w:r>
      <w:hyperlink w:anchor="Par63" w:history="1">
        <w:r>
          <w:rPr>
            <w:rFonts w:ascii="Calibri" w:hAnsi="Calibri" w:cs="Calibri"/>
            <w:color w:val="0000FF"/>
          </w:rPr>
          <w:t>расчетов б</w:t>
        </w:r>
      </w:hyperlink>
      <w:r>
        <w:rPr>
          <w:rFonts w:ascii="Calibri" w:hAnsi="Calibri" w:cs="Calibri"/>
        </w:rPr>
        <w:t xml:space="preserve">) или </w:t>
      </w:r>
      <w:hyperlink w:anchor="Par65" w:history="1">
        <w:r>
          <w:rPr>
            <w:rFonts w:ascii="Calibri" w:hAnsi="Calibri" w:cs="Calibri"/>
            <w:color w:val="0000FF"/>
          </w:rPr>
          <w:t>в</w:t>
        </w:r>
      </w:hyperlink>
      <w:r>
        <w:rPr>
          <w:rFonts w:ascii="Calibri" w:hAnsi="Calibri" w:cs="Calibri"/>
        </w:rPr>
        <w:t>) пункта 7 (руб./МВтч).</w:t>
      </w:r>
    </w:p>
    <w:p w:rsidR="002F5075" w:rsidRDefault="002F50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11.1 в ред. </w:t>
      </w:r>
      <w:hyperlink r:id="rId40"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bookmarkStart w:id="8" w:name="Par118"/>
      <w:bookmarkEnd w:id="8"/>
      <w:r>
        <w:rPr>
          <w:rFonts w:ascii="Calibri" w:hAnsi="Calibri" w:cs="Calibri"/>
        </w:rPr>
        <w:t>11.1.1. Процент роста средневзвешенной цены (тарифа) для конечных потребителей в регионе вследствие расторжения договоров "последней мили" рассчитывается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34"/>
        </w:rPr>
        <w:pict>
          <v:shape id="_x0000_i1051" type="#_x0000_t75" style="width:151.15pt;height:39.85pt">
            <v:imagedata r:id="rId41" o:title=""/>
          </v:shape>
        </w:pict>
      </w:r>
      <w:r>
        <w:rPr>
          <w:rFonts w:ascii="Calibri" w:hAnsi="Calibri" w:cs="Calibri"/>
        </w:rPr>
        <w:t>, (%) (7)</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52" type="#_x0000_t75" style="width:45.45pt;height:20.45pt">
            <v:imagedata r:id="rId42" o:title=""/>
          </v:shape>
        </w:pict>
      </w:r>
      <w:r>
        <w:rPr>
          <w:rFonts w:ascii="Calibri" w:hAnsi="Calibri" w:cs="Calibri"/>
        </w:rPr>
        <w:t xml:space="preserve"> - предельные уровни нерегулируемых цен на электрическую энергию, дифференцированные по ценовым категориям и уровням напряжения, рассчитанные в соответствии с </w:t>
      </w:r>
      <w:hyperlink r:id="rId43" w:history="1">
        <w:r>
          <w:rPr>
            <w:rFonts w:ascii="Calibri" w:hAnsi="Calibri" w:cs="Calibri"/>
            <w:color w:val="0000FF"/>
          </w:rPr>
          <w:t>Правилами</w:t>
        </w:r>
      </w:hyperlink>
      <w:r>
        <w:rPr>
          <w:rFonts w:ascii="Calibri" w:hAnsi="Calibri" w:cs="Calibri"/>
        </w:rPr>
        <w:t xml:space="preserve"> определения и применения гарантирующими поставщиками нерегулируемых цен на электрическую энергию (мощность), в зависимости от варианта </w:t>
      </w:r>
      <w:hyperlink w:anchor="Par63" w:history="1">
        <w:r>
          <w:rPr>
            <w:rFonts w:ascii="Calibri" w:hAnsi="Calibri" w:cs="Calibri"/>
            <w:color w:val="0000FF"/>
          </w:rPr>
          <w:t>расчета б</w:t>
        </w:r>
      </w:hyperlink>
      <w:r>
        <w:rPr>
          <w:rFonts w:ascii="Calibri" w:hAnsi="Calibri" w:cs="Calibri"/>
        </w:rPr>
        <w:t xml:space="preserve">) или </w:t>
      </w:r>
      <w:hyperlink w:anchor="Par65" w:history="1">
        <w:r>
          <w:rPr>
            <w:rFonts w:ascii="Calibri" w:hAnsi="Calibri" w:cs="Calibri"/>
            <w:color w:val="0000FF"/>
          </w:rPr>
          <w:t>в) пункта 7</w:t>
        </w:r>
      </w:hyperlink>
      <w:r>
        <w:rPr>
          <w:rFonts w:ascii="Calibri" w:hAnsi="Calibri" w:cs="Calibri"/>
        </w:rPr>
        <w:t xml:space="preserve"> (руб./МВтч);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53" type="#_x0000_t75" style="width:45.45pt;height:20.45pt">
            <v:imagedata r:id="rId44" o:title=""/>
          </v:shape>
        </w:pict>
      </w:r>
      <w:r>
        <w:rPr>
          <w:rFonts w:ascii="Calibri" w:hAnsi="Calibri" w:cs="Calibri"/>
        </w:rPr>
        <w:t xml:space="preserve"> - предельные уровни нерегулируемых цен на электрическую энергию, дифференцированные по ценовым категориям и уровням напряжения, рассчитанные в соответствии с </w:t>
      </w:r>
      <w:hyperlink r:id="rId45" w:history="1">
        <w:r>
          <w:rPr>
            <w:rFonts w:ascii="Calibri" w:hAnsi="Calibri" w:cs="Calibri"/>
            <w:color w:val="0000FF"/>
          </w:rPr>
          <w:t>Правилами</w:t>
        </w:r>
      </w:hyperlink>
      <w:r>
        <w:rPr>
          <w:rFonts w:ascii="Calibri" w:hAnsi="Calibri" w:cs="Calibri"/>
        </w:rPr>
        <w:t xml:space="preserve"> определения и применения гарантирующими поставщиками нерегулируемых цен на электрическую энергию (мощность) по варианту </w:t>
      </w:r>
      <w:hyperlink w:anchor="Par61" w:history="1">
        <w:r>
          <w:rPr>
            <w:rFonts w:ascii="Calibri" w:hAnsi="Calibri" w:cs="Calibri"/>
            <w:color w:val="0000FF"/>
          </w:rPr>
          <w:t>расчета а) пункта 7</w:t>
        </w:r>
      </w:hyperlink>
      <w:r>
        <w:rPr>
          <w:rFonts w:ascii="Calibri" w:hAnsi="Calibri" w:cs="Calibri"/>
        </w:rPr>
        <w:t xml:space="preserve"> (руб./МВтч).</w:t>
      </w:r>
    </w:p>
    <w:p w:rsidR="002F5075" w:rsidRDefault="002F50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11.1.1 в ред. </w:t>
      </w:r>
      <w:hyperlink r:id="rId46"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11.2. Для неценовых зон оптового рынка электроэнергии (мощности).</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неценовых зон оптового рынка расчет процента роста тарифа на электрическую энергию (мощность) для конечных потребителей по уровням напряжения производится аналогично расчету по </w:t>
      </w:r>
      <w:hyperlink w:anchor="Par118" w:history="1">
        <w:r>
          <w:rPr>
            <w:rFonts w:ascii="Calibri" w:hAnsi="Calibri" w:cs="Calibri"/>
            <w:color w:val="0000FF"/>
          </w:rPr>
          <w:t>пункту 11.1.1</w:t>
        </w:r>
      </w:hyperlink>
      <w:r>
        <w:rPr>
          <w:rFonts w:ascii="Calibri" w:hAnsi="Calibri" w:cs="Calibri"/>
        </w:rPr>
        <w:t xml:space="preserve">. В качестве </w:t>
      </w:r>
      <w:r>
        <w:rPr>
          <w:rFonts w:ascii="Calibri" w:hAnsi="Calibri" w:cs="Calibri"/>
          <w:position w:val="-14"/>
        </w:rPr>
        <w:pict>
          <v:shape id="_x0000_i1054" type="#_x0000_t75" style="width:45.45pt;height:20.45pt">
            <v:imagedata r:id="rId44" o:title=""/>
          </v:shape>
        </w:pict>
      </w:r>
      <w:r>
        <w:rPr>
          <w:rFonts w:ascii="Calibri" w:hAnsi="Calibri" w:cs="Calibri"/>
        </w:rPr>
        <w:t xml:space="preserve"> принимается тариф на электрическую энергию для конечных потребителей. В качестве </w:t>
      </w:r>
      <w:r>
        <w:rPr>
          <w:rFonts w:ascii="Calibri" w:hAnsi="Calibri" w:cs="Calibri"/>
          <w:position w:val="-14"/>
        </w:rPr>
        <w:pict>
          <v:shape id="_x0000_i1055" type="#_x0000_t75" style="width:45.45pt;height:20.45pt">
            <v:imagedata r:id="rId42" o:title=""/>
          </v:shape>
        </w:pict>
      </w:r>
      <w:r>
        <w:rPr>
          <w:rFonts w:ascii="Calibri" w:hAnsi="Calibri" w:cs="Calibri"/>
        </w:rPr>
        <w:t xml:space="preserve"> принимается тариф на электрическую энергию для конечных потребителей, рассчитанный с учетом ранее </w:t>
      </w:r>
      <w:r>
        <w:rPr>
          <w:rFonts w:ascii="Calibri" w:hAnsi="Calibri" w:cs="Calibri"/>
          <w:position w:val="-12"/>
        </w:rPr>
        <w:pict>
          <v:shape id="_x0000_i1056" type="#_x0000_t75" style="width:23.5pt;height:18.9pt">
            <v:imagedata r:id="rId47" o:title=""/>
          </v:shape>
        </w:pict>
      </w:r>
      <w:r>
        <w:rPr>
          <w:rFonts w:ascii="Calibri" w:hAnsi="Calibri" w:cs="Calibri"/>
        </w:rPr>
        <w:t>.</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Данные расчетов помещаются в </w:t>
      </w:r>
      <w:hyperlink w:anchor="Par219" w:history="1">
        <w:r>
          <w:rPr>
            <w:rFonts w:ascii="Calibri" w:hAnsi="Calibri" w:cs="Calibri"/>
            <w:color w:val="0000FF"/>
          </w:rPr>
          <w:t>Приложение 2</w:t>
        </w:r>
      </w:hyperlink>
      <w:r>
        <w:rPr>
          <w:rFonts w:ascii="Calibri" w:hAnsi="Calibri" w:cs="Calibri"/>
        </w:rPr>
        <w:t>.</w:t>
      </w:r>
    </w:p>
    <w:p w:rsidR="002F5075" w:rsidRDefault="002F50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11.2 в ред. </w:t>
      </w:r>
      <w:hyperlink r:id="rId48"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bookmarkStart w:id="9" w:name="Par130"/>
      <w:bookmarkEnd w:id="9"/>
      <w:r>
        <w:rPr>
          <w:rFonts w:ascii="Calibri" w:hAnsi="Calibri" w:cs="Calibri"/>
        </w:rPr>
        <w:t>12. Оценка ценовой нагрузки на конечных потребителей с учетом утвержденных тарифов на электрическую энергию для населения.</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Составляющая часть тарифа на услуги по передаче по i уровню напряжения для конечных потребителей, кроме группы населения, </w:t>
      </w:r>
      <w:r>
        <w:rPr>
          <w:rFonts w:ascii="Calibri" w:hAnsi="Calibri" w:cs="Calibri"/>
          <w:position w:val="-12"/>
        </w:rPr>
        <w:pict>
          <v:shape id="_x0000_i1057" type="#_x0000_t75" style="width:13.3pt;height:18.4pt">
            <v:imagedata r:id="rId49" o:title=""/>
          </v:shape>
        </w:pict>
      </w:r>
      <w:r>
        <w:rPr>
          <w:rFonts w:ascii="Calibri" w:hAnsi="Calibri" w:cs="Calibri"/>
        </w:rPr>
        <w:t>, с учетом договоров "последней мили", с учетом установленных тарифов на электрическую энергию для населения, рассчитывается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14"/>
        </w:rPr>
        <w:pict>
          <v:shape id="_x0000_i1058" type="#_x0000_t75" style="width:78.15pt;height:19.4pt">
            <v:imagedata r:id="rId50" o:title=""/>
          </v:shape>
        </w:pict>
      </w:r>
      <w:r>
        <w:rPr>
          <w:rFonts w:ascii="Calibri" w:hAnsi="Calibri" w:cs="Calibri"/>
        </w:rPr>
        <w:t>, (руб./МВтч), (8)</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4"/>
        </w:rPr>
        <w:pict>
          <v:shape id="_x0000_i1059" type="#_x0000_t75" style="width:26.05pt;height:19.4pt">
            <v:imagedata r:id="rId51" o:title=""/>
          </v:shape>
        </w:pict>
      </w:r>
      <w:r>
        <w:rPr>
          <w:rFonts w:ascii="Calibri" w:hAnsi="Calibri" w:cs="Calibri"/>
        </w:rPr>
        <w:t xml:space="preserve"> - одноставочный единый (котловой) тариф на услуги по передаче при условии сохранения договоров "последней мили", рассчитанный согласно Методическим </w:t>
      </w:r>
      <w:hyperlink r:id="rId52" w:history="1">
        <w:r>
          <w:rPr>
            <w:rFonts w:ascii="Calibri" w:hAnsi="Calibri" w:cs="Calibri"/>
            <w:color w:val="0000FF"/>
          </w:rPr>
          <w:t>указаниям</w:t>
        </w:r>
      </w:hyperlink>
      <w:r>
        <w:rPr>
          <w:rFonts w:ascii="Calibri" w:hAnsi="Calibri" w:cs="Calibri"/>
        </w:rPr>
        <w:t xml:space="preserve"> (руб./МВтч).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Составляющая часть тарифа на услуги по передаче по i уровню напряжения для конечных потребителей, кроме группы населения и приравненные к нему потребители </w:t>
      </w:r>
      <w:r>
        <w:rPr>
          <w:rFonts w:ascii="Calibri" w:hAnsi="Calibri" w:cs="Calibri"/>
          <w:position w:val="-6"/>
        </w:rPr>
        <w:pict>
          <v:shape id="_x0000_i1060" type="#_x0000_t75" style="width:13.3pt;height:16.35pt">
            <v:imagedata r:id="rId53" o:title=""/>
          </v:shape>
        </w:pict>
      </w:r>
      <w:r>
        <w:rPr>
          <w:rFonts w:ascii="Calibri" w:hAnsi="Calibri" w:cs="Calibri"/>
        </w:rPr>
        <w:t>, с учетом расторжения договоров "последней мили", а также с учетом утвержденных тарифов на электрическую энергию для населения, рассчитывается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8"/>
        </w:rPr>
        <w:pict>
          <v:shape id="_x0000_i1061" type="#_x0000_t75" style="width:81.2pt;height:19.4pt">
            <v:imagedata r:id="rId54" o:title=""/>
          </v:shape>
        </w:pict>
      </w:r>
      <w:r>
        <w:rPr>
          <w:rFonts w:ascii="Calibri" w:hAnsi="Calibri" w:cs="Calibri"/>
        </w:rPr>
        <w:t xml:space="preserve"> (руб./МВтч), (9)</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8"/>
        </w:rPr>
        <w:lastRenderedPageBreak/>
        <w:pict>
          <v:shape id="_x0000_i1062" type="#_x0000_t75" style="width:27.05pt;height:19.4pt">
            <v:imagedata r:id="rId55" o:title=""/>
          </v:shape>
        </w:pict>
      </w:r>
      <w:r>
        <w:rPr>
          <w:rFonts w:ascii="Calibri" w:hAnsi="Calibri" w:cs="Calibri"/>
        </w:rPr>
        <w:t xml:space="preserve"> - одноставочный единый (котловой) тариф на услуги по передаче при условии расторжения договоров "последней мили", рассчитанный согласно Методическим </w:t>
      </w:r>
      <w:hyperlink r:id="rId56" w:history="1">
        <w:r>
          <w:rPr>
            <w:rFonts w:ascii="Calibri" w:hAnsi="Calibri" w:cs="Calibri"/>
            <w:color w:val="0000FF"/>
          </w:rPr>
          <w:t>указаниям</w:t>
        </w:r>
      </w:hyperlink>
      <w:r>
        <w:rPr>
          <w:rFonts w:ascii="Calibri" w:hAnsi="Calibri" w:cs="Calibri"/>
        </w:rPr>
        <w:t xml:space="preserve"> (руб./МВтч).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напряжениям должно выполняться условие: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30"/>
        </w:rPr>
        <w:pict>
          <v:shape id="_x0000_i1063" type="#_x0000_t75" style="width:175.15pt;height:37.3pt">
            <v:imagedata r:id="rId57" o:title=""/>
          </v:shape>
        </w:pict>
      </w:r>
      <w:r>
        <w:rPr>
          <w:rFonts w:ascii="Calibri" w:hAnsi="Calibri" w:cs="Calibri"/>
        </w:rPr>
        <w:t xml:space="preserve">, если </w:t>
      </w:r>
      <w:r>
        <w:rPr>
          <w:rFonts w:ascii="Calibri" w:hAnsi="Calibri" w:cs="Calibri"/>
          <w:position w:val="-12"/>
        </w:rPr>
        <w:pict>
          <v:shape id="_x0000_i1064" type="#_x0000_t75" style="width:31.15pt;height:18.4pt">
            <v:imagedata r:id="rId58" o:title=""/>
          </v:shape>
        </w:pict>
      </w:r>
      <w:r>
        <w:rPr>
          <w:rFonts w:ascii="Calibri" w:hAnsi="Calibri" w:cs="Calibri"/>
        </w:rPr>
        <w:t xml:space="preserve"> (10)</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Величина ценовой нагрузки на конечных потребителей с учетом утвержденных тарифов на электрическую энергию для населения и приравненных к нему категорий потребителей рассчитывается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16"/>
        </w:rPr>
        <w:pict>
          <v:shape id="_x0000_i1065" type="#_x0000_t75" style="width:231.85pt;height:21.45pt">
            <v:imagedata r:id="rId59" o:title=""/>
          </v:shape>
        </w:pict>
      </w:r>
      <w:r>
        <w:rPr>
          <w:rFonts w:ascii="Calibri" w:hAnsi="Calibri" w:cs="Calibri"/>
        </w:rPr>
        <w:t>, (руб.) (11)</w:t>
      </w:r>
    </w:p>
    <w:p w:rsidR="002F5075" w:rsidRDefault="002F50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60"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Оценочная величина роста по всем уровням напряжения по группе "прочие" потребителей с учетом утвержденных тарифов на электрическую энергию для населения и приравненных к нему категорий, </w:t>
      </w:r>
      <w:r>
        <w:rPr>
          <w:rFonts w:ascii="Calibri" w:hAnsi="Calibri" w:cs="Calibri"/>
          <w:position w:val="-10"/>
        </w:rPr>
        <w:pict>
          <v:shape id="_x0000_i1066" type="#_x0000_t75" style="width:25.55pt;height:20.45pt">
            <v:imagedata r:id="rId61" o:title=""/>
          </v:shape>
        </w:pict>
      </w:r>
      <w:r>
        <w:rPr>
          <w:rFonts w:ascii="Calibri" w:hAnsi="Calibri" w:cs="Calibri"/>
        </w:rPr>
        <w:t>, определяется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12"/>
        </w:rPr>
        <w:pict>
          <v:shape id="_x0000_i1067" type="#_x0000_t75" style="width:138.9pt;height:22.45pt">
            <v:imagedata r:id="rId62" o:title=""/>
          </v:shape>
        </w:pict>
      </w:r>
      <w:r>
        <w:rPr>
          <w:rFonts w:ascii="Calibri" w:hAnsi="Calibri" w:cs="Calibri"/>
        </w:rPr>
        <w:t>, (руб.) (12)</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где:</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68" type="#_x0000_t75" style="width:22.45pt;height:18.4pt">
            <v:imagedata r:id="rId63" o:title=""/>
          </v:shape>
        </w:pict>
      </w:r>
      <w:r>
        <w:rPr>
          <w:rFonts w:ascii="Calibri" w:hAnsi="Calibri" w:cs="Calibri"/>
        </w:rPr>
        <w:t xml:space="preserve"> - суммарные объемы поставки электрической энергии населению и приравненных к нему категорий, согласно сводного прогнозного баланса на текущий период регулирования (МВтч);</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69" type="#_x0000_t75" style="width:28.1pt;height:18.9pt">
            <v:imagedata r:id="rId64" o:title=""/>
          </v:shape>
        </w:pict>
      </w:r>
      <w:r>
        <w:rPr>
          <w:rFonts w:ascii="Calibri" w:hAnsi="Calibri" w:cs="Calibri"/>
        </w:rPr>
        <w:t xml:space="preserve"> - экономически обоснованный тариф для населения и приравненных к нему категорий, рассчитываемый до расторжения договоров "последней мили"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30"/>
        </w:rPr>
        <w:pict>
          <v:shape id="_x0000_i1070" type="#_x0000_t75" style="width:79.15pt;height:33.2pt">
            <v:imagedata r:id="rId65" o:title=""/>
          </v:shape>
        </w:pict>
      </w:r>
      <w:r>
        <w:rPr>
          <w:rFonts w:ascii="Calibri" w:hAnsi="Calibri" w:cs="Calibri"/>
        </w:rPr>
        <w:t>, (руб./МВтч) (13)</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12"/>
        </w:rPr>
        <w:pict>
          <v:shape id="_x0000_i1071" type="#_x0000_t75" style="width:38.3pt;height:18.4pt">
            <v:imagedata r:id="rId66" o:title=""/>
          </v:shape>
        </w:pict>
      </w:r>
      <w:r>
        <w:rPr>
          <w:rFonts w:ascii="Calibri" w:hAnsi="Calibri" w:cs="Calibri"/>
        </w:rPr>
        <w:t xml:space="preserve"> - экономически обоснованная необходимая валовая выручка по группе население и приравненных к нему категорий, до расторжения договоров "последней мили", руб.;</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position w:val="-6"/>
        </w:rPr>
        <w:pict>
          <v:shape id="_x0000_i1072" type="#_x0000_t75" style="width:28.1pt;height:18.9pt">
            <v:imagedata r:id="rId67" o:title=""/>
          </v:shape>
        </w:pict>
      </w:r>
      <w:r>
        <w:rPr>
          <w:rFonts w:ascii="Calibri" w:hAnsi="Calibri" w:cs="Calibri"/>
        </w:rPr>
        <w:t xml:space="preserve"> - тариф для населения и приравненных к нему категорий, рассчитываемый после расторжения договоров "последней мили" по формуле: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position w:val="-32"/>
        </w:rPr>
        <w:pict>
          <v:shape id="_x0000_i1073" type="#_x0000_t75" style="width:255.85pt;height:37.8pt">
            <v:imagedata r:id="rId68" o:title=""/>
          </v:shape>
        </w:pict>
      </w:r>
      <w:r>
        <w:rPr>
          <w:rFonts w:ascii="Calibri" w:hAnsi="Calibri" w:cs="Calibri"/>
        </w:rPr>
        <w:t>, (руб./МВтч) (14)</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Отклонение </w:t>
      </w:r>
      <w:r>
        <w:rPr>
          <w:rFonts w:ascii="Calibri" w:hAnsi="Calibri" w:cs="Calibri"/>
          <w:position w:val="-10"/>
        </w:rPr>
        <w:pict>
          <v:shape id="_x0000_i1074" type="#_x0000_t75" style="width:25.55pt;height:20.45pt">
            <v:imagedata r:id="rId69" o:title=""/>
          </v:shape>
        </w:pict>
      </w:r>
      <w:r>
        <w:rPr>
          <w:rFonts w:ascii="Calibri" w:hAnsi="Calibri" w:cs="Calibri"/>
        </w:rPr>
        <w:t xml:space="preserve"> от оценочной величины </w:t>
      </w:r>
      <w:r>
        <w:rPr>
          <w:rFonts w:ascii="Calibri" w:hAnsi="Calibri" w:cs="Calibri"/>
          <w:position w:val="-10"/>
        </w:rPr>
        <w:pict>
          <v:shape id="_x0000_i1075" type="#_x0000_t75" style="width:25.55pt;height:20.45pt">
            <v:imagedata r:id="rId61" o:title=""/>
          </v:shape>
        </w:pict>
      </w:r>
      <w:r>
        <w:rPr>
          <w:rFonts w:ascii="Calibri" w:hAnsi="Calibri" w:cs="Calibri"/>
        </w:rPr>
        <w:t xml:space="preserve"> не должно превышать погрешности, которая заложена в оценочном расчете величины </w:t>
      </w:r>
      <w:r>
        <w:rPr>
          <w:rFonts w:ascii="Calibri" w:hAnsi="Calibri" w:cs="Calibri"/>
          <w:position w:val="-10"/>
        </w:rPr>
        <w:pict>
          <v:shape id="_x0000_i1076" type="#_x0000_t75" style="width:25.55pt;height:20.45pt">
            <v:imagedata r:id="rId61" o:title=""/>
          </v:shape>
        </w:pict>
      </w:r>
      <w:r>
        <w:rPr>
          <w:rFonts w:ascii="Calibri" w:hAnsi="Calibri" w:cs="Calibri"/>
        </w:rPr>
        <w:t>.</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Данные величины помещаются в </w:t>
      </w:r>
      <w:hyperlink w:anchor="Par282" w:history="1">
        <w:r>
          <w:rPr>
            <w:rFonts w:ascii="Calibri" w:hAnsi="Calibri" w:cs="Calibri"/>
            <w:color w:val="0000FF"/>
          </w:rPr>
          <w:t>Приложение 3 а</w:t>
        </w:r>
      </w:hyperlink>
      <w:r>
        <w:rPr>
          <w:rFonts w:ascii="Calibri" w:hAnsi="Calibri" w:cs="Calibri"/>
        </w:rPr>
        <w:t xml:space="preserve"> и </w:t>
      </w:r>
      <w:hyperlink w:anchor="Par350" w:history="1">
        <w:r>
          <w:rPr>
            <w:rFonts w:ascii="Calibri" w:hAnsi="Calibri" w:cs="Calibri"/>
            <w:color w:val="0000FF"/>
          </w:rPr>
          <w:t>3 б</w:t>
        </w:r>
      </w:hyperlink>
      <w:r>
        <w:rPr>
          <w:rFonts w:ascii="Calibri" w:hAnsi="Calibri" w:cs="Calibri"/>
        </w:rPr>
        <w:t>.</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объекты "последней мили", предлагаемые к передаче в аренду ТСО на территории субъекта Российской Федерации, присоединены к сетям прочих ТСО, то расчет влияния отказа от передачи в аренду указанных объектов производится в следующем порядке: </w:t>
      </w:r>
      <w:hyperlink w:anchor="Par178" w:history="1">
        <w:r>
          <w:rPr>
            <w:rFonts w:ascii="Calibri" w:hAnsi="Calibri" w:cs="Calibri"/>
            <w:color w:val="0000FF"/>
          </w:rPr>
          <w:t>приложения 1</w:t>
        </w:r>
      </w:hyperlink>
      <w:r>
        <w:rPr>
          <w:rFonts w:ascii="Calibri" w:hAnsi="Calibri" w:cs="Calibri"/>
        </w:rPr>
        <w:t xml:space="preserve"> - </w:t>
      </w:r>
      <w:hyperlink w:anchor="Par282" w:history="1">
        <w:r>
          <w:rPr>
            <w:rFonts w:ascii="Calibri" w:hAnsi="Calibri" w:cs="Calibri"/>
            <w:color w:val="0000FF"/>
          </w:rPr>
          <w:t>3</w:t>
        </w:r>
      </w:hyperlink>
      <w:r>
        <w:rPr>
          <w:rFonts w:ascii="Calibri" w:hAnsi="Calibri" w:cs="Calibri"/>
        </w:rPr>
        <w:t xml:space="preserve"> не заполняются, а оценка влияния от расторжения договоров "последней мили" производится, исходя из процента роста индивидуальных тарифов на услуги по передаче </w:t>
      </w:r>
      <w:r>
        <w:rPr>
          <w:rFonts w:ascii="Calibri" w:hAnsi="Calibri" w:cs="Calibri"/>
        </w:rPr>
        <w:lastRenderedPageBreak/>
        <w:t xml:space="preserve">электрической энергии, рассчитанных в соответствии с Методическими </w:t>
      </w:r>
      <w:hyperlink r:id="rId70" w:history="1">
        <w:r>
          <w:rPr>
            <w:rFonts w:ascii="Calibri" w:hAnsi="Calibri" w:cs="Calibri"/>
            <w:color w:val="0000FF"/>
          </w:rPr>
          <w:t>указаниями</w:t>
        </w:r>
      </w:hyperlink>
      <w:r>
        <w:rPr>
          <w:rFonts w:ascii="Calibri" w:hAnsi="Calibri" w:cs="Calibri"/>
        </w:rPr>
        <w:t>.</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right"/>
        <w:outlineLvl w:val="1"/>
        <w:rPr>
          <w:rFonts w:ascii="Calibri" w:hAnsi="Calibri" w:cs="Calibri"/>
        </w:rPr>
      </w:pPr>
      <w:bookmarkStart w:id="10" w:name="Par175"/>
      <w:bookmarkEnd w:id="10"/>
      <w:r>
        <w:rPr>
          <w:rFonts w:ascii="Calibri" w:hAnsi="Calibri" w:cs="Calibri"/>
        </w:rPr>
        <w:t>Приложение 1</w:t>
      </w:r>
    </w:p>
    <w:p w:rsidR="002F5075" w:rsidRDefault="002F5075">
      <w:pPr>
        <w:widowControl w:val="0"/>
        <w:autoSpaceDE w:val="0"/>
        <w:autoSpaceDN w:val="0"/>
        <w:adjustRightInd w:val="0"/>
        <w:spacing w:after="0" w:line="240" w:lineRule="auto"/>
        <w:jc w:val="right"/>
        <w:rPr>
          <w:rFonts w:ascii="Calibri" w:hAnsi="Calibri" w:cs="Calibri"/>
        </w:rPr>
      </w:pPr>
      <w:r>
        <w:rPr>
          <w:rFonts w:ascii="Calibri" w:hAnsi="Calibri" w:cs="Calibri"/>
        </w:rPr>
        <w:t>к Методическим указаниям</w:t>
      </w:r>
    </w:p>
    <w:p w:rsidR="002F5075" w:rsidRDefault="002F5075">
      <w:pPr>
        <w:widowControl w:val="0"/>
        <w:autoSpaceDE w:val="0"/>
        <w:autoSpaceDN w:val="0"/>
        <w:adjustRightInd w:val="0"/>
        <w:spacing w:after="0" w:line="240" w:lineRule="auto"/>
        <w:jc w:val="right"/>
        <w:rPr>
          <w:rFonts w:ascii="Calibri" w:hAnsi="Calibri" w:cs="Calibri"/>
        </w:rPr>
        <w:sectPr w:rsidR="002F5075" w:rsidSect="00C57D16">
          <w:pgSz w:w="11906" w:h="16838"/>
          <w:pgMar w:top="1134" w:right="850" w:bottom="1134" w:left="1701" w:header="708" w:footer="708" w:gutter="0"/>
          <w:cols w:space="708"/>
          <w:docGrid w:linePitch="360"/>
        </w:sect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pStyle w:val="ConsPlusNonformat"/>
      </w:pPr>
      <w:bookmarkStart w:id="11" w:name="Par178"/>
      <w:bookmarkEnd w:id="11"/>
      <w:r>
        <w:t xml:space="preserve">             Информация по изменению единых (котловых) тарифов</w:t>
      </w:r>
    </w:p>
    <w:p w:rsidR="002F5075" w:rsidRDefault="002F5075">
      <w:pPr>
        <w:pStyle w:val="ConsPlusNonformat"/>
      </w:pPr>
      <w:r>
        <w:t xml:space="preserve">                     на передачу электрической энергии</w:t>
      </w:r>
    </w:p>
    <w:p w:rsidR="002F5075" w:rsidRDefault="002F5075">
      <w:pPr>
        <w:pStyle w:val="ConsPlusNonformat"/>
      </w:pPr>
      <w:r>
        <w:t xml:space="preserve">      по _____________________________________________ в 20__ г.</w:t>
      </w:r>
    </w:p>
    <w:p w:rsidR="002F5075" w:rsidRDefault="002F5075">
      <w:pPr>
        <w:pStyle w:val="ConsPlusNonformat"/>
      </w:pPr>
      <w:r>
        <w:t xml:space="preserve">           (субъекту Российской Федерации или объект</w:t>
      </w:r>
    </w:p>
    <w:p w:rsidR="002F5075" w:rsidRDefault="002F5075">
      <w:pPr>
        <w:pStyle w:val="ConsPlusNonformat"/>
      </w:pPr>
      <w:r>
        <w:t xml:space="preserve">                           аренды ЕНЭС)</w:t>
      </w:r>
    </w:p>
    <w:p w:rsidR="002F5075" w:rsidRDefault="002F5075">
      <w:pPr>
        <w:pStyle w:val="ConsPlusNonformat"/>
      </w:pPr>
    </w:p>
    <w:p w:rsidR="002F5075" w:rsidRDefault="002F5075">
      <w:pPr>
        <w:pStyle w:val="ConsPlusNonformat"/>
      </w:pPr>
      <w:bookmarkStart w:id="12" w:name="Par184"/>
      <w:bookmarkEnd w:id="12"/>
      <w:r>
        <w:t xml:space="preserve">          Утвержденный одноставочный тариф на услуги по передаче</w:t>
      </w:r>
    </w:p>
    <w:p w:rsidR="002F5075" w:rsidRDefault="002F5075">
      <w:pPr>
        <w:pStyle w:val="ConsPlusNonformat"/>
      </w:pPr>
      <w:r>
        <w:t xml:space="preserve">        с учетом установленного тарифа для населения и приравненных</w:t>
      </w:r>
    </w:p>
    <w:p w:rsidR="002F5075" w:rsidRDefault="002F5075">
      <w:pPr>
        <w:pStyle w:val="ConsPlusNonformat"/>
      </w:pPr>
      <w:r>
        <w:t xml:space="preserve">                             к нему категорий</w:t>
      </w:r>
    </w:p>
    <w:p w:rsidR="002F5075" w:rsidRDefault="002F507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2280"/>
        <w:gridCol w:w="960"/>
        <w:gridCol w:w="720"/>
        <w:gridCol w:w="840"/>
        <w:gridCol w:w="840"/>
        <w:gridCol w:w="720"/>
        <w:gridCol w:w="840"/>
        <w:gridCol w:w="840"/>
        <w:gridCol w:w="840"/>
        <w:gridCol w:w="720"/>
        <w:gridCol w:w="840"/>
        <w:gridCol w:w="720"/>
        <w:gridCol w:w="840"/>
        <w:gridCol w:w="720"/>
      </w:tblGrid>
      <w:tr w:rsidR="002F5075">
        <w:tblPrEx>
          <w:tblCellMar>
            <w:top w:w="0" w:type="dxa"/>
            <w:bottom w:w="0" w:type="dxa"/>
          </w:tblCellMar>
        </w:tblPrEx>
        <w:trPr>
          <w:tblCellSpacing w:w="5" w:type="nil"/>
        </w:trPr>
        <w:tc>
          <w:tcPr>
            <w:tcW w:w="2280" w:type="dxa"/>
            <w:vMerge w:val="restart"/>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Наименование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тарифа      </w:t>
            </w:r>
          </w:p>
        </w:tc>
        <w:tc>
          <w:tcPr>
            <w:tcW w:w="960" w:type="dxa"/>
            <w:vMerge w:val="restart"/>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Ед.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изм. </w:t>
            </w:r>
          </w:p>
        </w:tc>
        <w:tc>
          <w:tcPr>
            <w:tcW w:w="3120" w:type="dxa"/>
            <w:gridSpan w:val="4"/>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Прогнозная цена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(тариф) для прочих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потребителей (при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условии, что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"последняя миля"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будет пролонгирована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по всем объектам)  </w:t>
            </w:r>
          </w:p>
        </w:tc>
        <w:tc>
          <w:tcPr>
            <w:tcW w:w="3240" w:type="dxa"/>
            <w:gridSpan w:val="4"/>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Прогнозная цена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(тариф) для прочих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потребителей (при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условии отказа от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аренды объекта или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всех единовременно)  </w:t>
            </w:r>
          </w:p>
        </w:tc>
        <w:tc>
          <w:tcPr>
            <w:tcW w:w="3120" w:type="dxa"/>
            <w:gridSpan w:val="4"/>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Изменение цены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(тарифа) на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электрическую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энергию (мощность),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p>
        </w:tc>
      </w:tr>
      <w:tr w:rsidR="002F5075">
        <w:tblPrEx>
          <w:tblCellMar>
            <w:top w:w="0" w:type="dxa"/>
            <w:bottom w:w="0" w:type="dxa"/>
          </w:tblCellMar>
        </w:tblPrEx>
        <w:trPr>
          <w:tblCellSpacing w:w="5" w:type="nil"/>
        </w:trPr>
        <w:tc>
          <w:tcPr>
            <w:tcW w:w="2280"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960"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3120" w:type="dxa"/>
            <w:gridSpan w:val="4"/>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одноставочная цена  </w:t>
            </w:r>
          </w:p>
        </w:tc>
        <w:tc>
          <w:tcPr>
            <w:tcW w:w="3240" w:type="dxa"/>
            <w:gridSpan w:val="4"/>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одноставочная цена  </w:t>
            </w:r>
          </w:p>
        </w:tc>
        <w:tc>
          <w:tcPr>
            <w:tcW w:w="3120" w:type="dxa"/>
            <w:gridSpan w:val="4"/>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одноставочная цена  </w:t>
            </w:r>
          </w:p>
        </w:tc>
      </w:tr>
      <w:tr w:rsidR="002F5075">
        <w:tblPrEx>
          <w:tblCellMar>
            <w:top w:w="0" w:type="dxa"/>
            <w:bottom w:w="0" w:type="dxa"/>
          </w:tblCellMar>
        </w:tblPrEx>
        <w:trPr>
          <w:tblCellSpacing w:w="5" w:type="nil"/>
        </w:trPr>
        <w:tc>
          <w:tcPr>
            <w:tcW w:w="2280"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960"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ВН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СН1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СН2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НН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ВН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СН1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СН2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НН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ВН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СН1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СН2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НН </w:t>
            </w:r>
          </w:p>
        </w:tc>
      </w:tr>
      <w:tr w:rsidR="002F5075">
        <w:tblPrEx>
          <w:tblCellMar>
            <w:top w:w="0" w:type="dxa"/>
            <w:bottom w:w="0" w:type="dxa"/>
          </w:tblCellMar>
        </w:tblPrEx>
        <w:trPr>
          <w:tblCellSpacing w:w="5" w:type="nil"/>
        </w:trPr>
        <w:tc>
          <w:tcPr>
            <w:tcW w:w="22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        </w:t>
            </w: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5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6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7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8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9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10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11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12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13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14 </w:t>
            </w:r>
          </w:p>
        </w:tc>
      </w:tr>
      <w:tr w:rsidR="002F5075">
        <w:tblPrEx>
          <w:tblCellMar>
            <w:top w:w="0" w:type="dxa"/>
            <w:bottom w:w="0" w:type="dxa"/>
          </w:tblCellMar>
        </w:tblPrEx>
        <w:trPr>
          <w:tblCellSpacing w:w="5" w:type="nil"/>
        </w:trPr>
        <w:tc>
          <w:tcPr>
            <w:tcW w:w="22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Тариф на услуги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 передаче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электрической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энергии (без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НДС)             </w:t>
            </w: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руб./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МВтч </w:t>
            </w: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72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bl>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right"/>
        <w:outlineLvl w:val="1"/>
        <w:rPr>
          <w:rFonts w:ascii="Calibri" w:hAnsi="Calibri" w:cs="Calibri"/>
        </w:rPr>
      </w:pPr>
      <w:bookmarkStart w:id="13" w:name="Par214"/>
      <w:bookmarkEnd w:id="13"/>
      <w:r>
        <w:rPr>
          <w:rFonts w:ascii="Calibri" w:hAnsi="Calibri" w:cs="Calibri"/>
        </w:rPr>
        <w:t>Приложение 2</w:t>
      </w:r>
    </w:p>
    <w:p w:rsidR="002F5075" w:rsidRDefault="002F5075">
      <w:pPr>
        <w:widowControl w:val="0"/>
        <w:autoSpaceDE w:val="0"/>
        <w:autoSpaceDN w:val="0"/>
        <w:adjustRightInd w:val="0"/>
        <w:spacing w:after="0" w:line="240" w:lineRule="auto"/>
        <w:jc w:val="right"/>
        <w:rPr>
          <w:rFonts w:ascii="Calibri" w:hAnsi="Calibri" w:cs="Calibri"/>
        </w:rPr>
      </w:pPr>
      <w:r>
        <w:rPr>
          <w:rFonts w:ascii="Calibri" w:hAnsi="Calibri" w:cs="Calibri"/>
        </w:rPr>
        <w:t>к Методическим указаниям</w:t>
      </w:r>
    </w:p>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71"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pStyle w:val="ConsPlusNonformat"/>
      </w:pPr>
      <w:bookmarkStart w:id="14" w:name="Par219"/>
      <w:bookmarkEnd w:id="14"/>
      <w:r>
        <w:t xml:space="preserve">                                Информация</w:t>
      </w:r>
    </w:p>
    <w:p w:rsidR="002F5075" w:rsidRDefault="002F5075">
      <w:pPr>
        <w:pStyle w:val="ConsPlusNonformat"/>
      </w:pPr>
      <w:r>
        <w:t xml:space="preserve">           по изменению цены (тарифов) на электрическую энергию</w:t>
      </w:r>
    </w:p>
    <w:p w:rsidR="002F5075" w:rsidRDefault="002F5075">
      <w:pPr>
        <w:pStyle w:val="ConsPlusNonformat"/>
      </w:pPr>
      <w:r>
        <w:lastRenderedPageBreak/>
        <w:t xml:space="preserve">           по _______________________________________ в 20__ г.</w:t>
      </w:r>
    </w:p>
    <w:p w:rsidR="002F5075" w:rsidRDefault="002F5075">
      <w:pPr>
        <w:pStyle w:val="ConsPlusNonformat"/>
      </w:pPr>
      <w:r>
        <w:t xml:space="preserve">                 (субъекту Российской Федерации или</w:t>
      </w:r>
    </w:p>
    <w:p w:rsidR="002F5075" w:rsidRDefault="002F5075">
      <w:pPr>
        <w:pStyle w:val="ConsPlusNonformat"/>
      </w:pPr>
      <w:r>
        <w:t xml:space="preserve">                          объект аренды ЕНЭС)</w:t>
      </w:r>
    </w:p>
    <w:p w:rsidR="002F5075" w:rsidRDefault="002F5075">
      <w:pPr>
        <w:pStyle w:val="ConsPlusNonformat"/>
      </w:pPr>
    </w:p>
    <w:p w:rsidR="002F5075" w:rsidRDefault="002F5075">
      <w:pPr>
        <w:pStyle w:val="ConsPlusNonformat"/>
      </w:pPr>
      <w:bookmarkStart w:id="15" w:name="Par225"/>
      <w:bookmarkEnd w:id="15"/>
      <w:r>
        <w:t>Утвержденный   одноставочный   тариф   на   услуги  по  передаче  с  учетом</w:t>
      </w:r>
    </w:p>
    <w:p w:rsidR="002F5075" w:rsidRDefault="002F5075">
      <w:pPr>
        <w:pStyle w:val="ConsPlusNonformat"/>
      </w:pPr>
      <w:r>
        <w:t>установленного тарифа для населения и приравненных к нему категорий</w:t>
      </w:r>
    </w:p>
    <w:p w:rsidR="002F5075" w:rsidRDefault="002F5075">
      <w:pPr>
        <w:pStyle w:val="ConsPlusNonformat"/>
      </w:pPr>
    </w:p>
    <w:p w:rsidR="002F5075" w:rsidRDefault="002F5075">
      <w:pPr>
        <w:pStyle w:val="ConsPlusNonformat"/>
      </w:pPr>
      <w:r>
        <w:t xml:space="preserve">                                                                  (без НДС)</w:t>
      </w:r>
    </w:p>
    <w:p w:rsidR="002F5075" w:rsidRDefault="002F507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2376"/>
        <w:gridCol w:w="1296"/>
        <w:gridCol w:w="972"/>
        <w:gridCol w:w="972"/>
        <w:gridCol w:w="864"/>
        <w:gridCol w:w="756"/>
        <w:gridCol w:w="756"/>
        <w:gridCol w:w="864"/>
        <w:gridCol w:w="756"/>
        <w:gridCol w:w="756"/>
        <w:gridCol w:w="756"/>
        <w:gridCol w:w="864"/>
        <w:gridCol w:w="756"/>
        <w:gridCol w:w="756"/>
        <w:gridCol w:w="756"/>
      </w:tblGrid>
      <w:tr w:rsidR="002F5075">
        <w:tblPrEx>
          <w:tblCellMar>
            <w:top w:w="0" w:type="dxa"/>
            <w:bottom w:w="0" w:type="dxa"/>
          </w:tblCellMar>
        </w:tblPrEx>
        <w:trPr>
          <w:trHeight w:val="1620"/>
          <w:tblCellSpacing w:w="5" w:type="nil"/>
        </w:trPr>
        <w:tc>
          <w:tcPr>
            <w:tcW w:w="2376" w:type="dxa"/>
            <w:vMerge w:val="restart"/>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Составляющие цены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на электрическую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энергию       </w:t>
            </w:r>
          </w:p>
        </w:tc>
        <w:tc>
          <w:tcPr>
            <w:tcW w:w="1296" w:type="dxa"/>
            <w:vMerge w:val="restart"/>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Ценовая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категория </w:t>
            </w:r>
          </w:p>
        </w:tc>
        <w:tc>
          <w:tcPr>
            <w:tcW w:w="972" w:type="dxa"/>
            <w:vMerge w:val="restart"/>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Строка </w:t>
            </w:r>
          </w:p>
        </w:tc>
        <w:tc>
          <w:tcPr>
            <w:tcW w:w="3348" w:type="dxa"/>
            <w:gridSpan w:val="4"/>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Прогнозная цена (тариф)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для потребителей (при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условии, что "последняя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миля" будет пролонгирована</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по всем объектам),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руб./МВтч         </w:t>
            </w:r>
          </w:p>
        </w:tc>
        <w:tc>
          <w:tcPr>
            <w:tcW w:w="3132" w:type="dxa"/>
            <w:gridSpan w:val="4"/>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Прогнозная цена (тариф)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для потребителей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(при условии отказа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от "последней мили"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по объекту или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по всем объектам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одновременно),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руб./МВтч        </w:t>
            </w:r>
          </w:p>
        </w:tc>
        <w:tc>
          <w:tcPr>
            <w:tcW w:w="3132" w:type="dxa"/>
            <w:gridSpan w:val="4"/>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Изменение цены (тарифа)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на электрическую энергию</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(мощность), %      </w:t>
            </w:r>
          </w:p>
        </w:tc>
      </w:tr>
      <w:tr w:rsidR="002F5075">
        <w:tblPrEx>
          <w:tblCellMar>
            <w:top w:w="0" w:type="dxa"/>
            <w:bottom w:w="0" w:type="dxa"/>
          </w:tblCellMar>
        </w:tblPrEx>
        <w:trPr>
          <w:tblCellSpacing w:w="5" w:type="nil"/>
        </w:trPr>
        <w:tc>
          <w:tcPr>
            <w:tcW w:w="2376"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1296"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972"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ВН   </w:t>
            </w: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СН1  </w:t>
            </w: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СН2 </w:t>
            </w: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НН  </w:t>
            </w: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ВН  </w:t>
            </w: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СН1 </w:t>
            </w: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СН2 </w:t>
            </w: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НН  </w:t>
            </w: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ВН  </w:t>
            </w: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СН1 </w:t>
            </w: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СН2 </w:t>
            </w: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НН  </w:t>
            </w:r>
          </w:p>
        </w:tc>
      </w:tr>
      <w:tr w:rsidR="002F5075">
        <w:tblPrEx>
          <w:tblCellMar>
            <w:top w:w="0" w:type="dxa"/>
            <w:bottom w:w="0" w:type="dxa"/>
          </w:tblCellMar>
        </w:tblPrEx>
        <w:trPr>
          <w:trHeight w:val="720"/>
          <w:tblCellSpacing w:w="5" w:type="nil"/>
        </w:trPr>
        <w:tc>
          <w:tcPr>
            <w:tcW w:w="237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Свободная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нерегулируемая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цена покупки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 ОРЭМ </w:t>
            </w:r>
            <w:hyperlink w:anchor="Par269" w:history="1">
              <w:r>
                <w:rPr>
                  <w:rFonts w:ascii="Courier New" w:hAnsi="Courier New" w:cs="Courier New"/>
                  <w:color w:val="0000FF"/>
                  <w:sz w:val="18"/>
                  <w:szCs w:val="18"/>
                </w:rPr>
                <w:t>&lt;*&gt;</w:t>
              </w:r>
            </w:hyperlink>
          </w:p>
        </w:tc>
        <w:tc>
          <w:tcPr>
            <w:tcW w:w="129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1   </w:t>
            </w: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r>
      <w:tr w:rsidR="002F5075">
        <w:tblPrEx>
          <w:tblCellMar>
            <w:top w:w="0" w:type="dxa"/>
            <w:bottom w:w="0" w:type="dxa"/>
          </w:tblCellMar>
        </w:tblPrEx>
        <w:trPr>
          <w:trHeight w:val="540"/>
          <w:tblCellSpacing w:w="5" w:type="nil"/>
        </w:trPr>
        <w:tc>
          <w:tcPr>
            <w:tcW w:w="237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Тариф на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инфраструктурные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платежи на ОРЭМ </w:t>
            </w:r>
            <w:hyperlink w:anchor="Par270" w:history="1">
              <w:r>
                <w:rPr>
                  <w:rFonts w:ascii="Courier New" w:hAnsi="Courier New" w:cs="Courier New"/>
                  <w:color w:val="0000FF"/>
                  <w:sz w:val="18"/>
                  <w:szCs w:val="18"/>
                </w:rPr>
                <w:t>&lt;**&gt;</w:t>
              </w:r>
            </w:hyperlink>
          </w:p>
        </w:tc>
        <w:tc>
          <w:tcPr>
            <w:tcW w:w="129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2   </w:t>
            </w: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r>
      <w:tr w:rsidR="002F5075">
        <w:tblPrEx>
          <w:tblCellMar>
            <w:top w:w="0" w:type="dxa"/>
            <w:bottom w:w="0" w:type="dxa"/>
          </w:tblCellMar>
        </w:tblPrEx>
        <w:trPr>
          <w:trHeight w:val="540"/>
          <w:tblCellSpacing w:w="5" w:type="nil"/>
        </w:trPr>
        <w:tc>
          <w:tcPr>
            <w:tcW w:w="237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Сбытовая надбавка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гарантирующего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поставщика </w:t>
            </w:r>
            <w:hyperlink w:anchor="Par271" w:history="1">
              <w:r>
                <w:rPr>
                  <w:rFonts w:ascii="Courier New" w:hAnsi="Courier New" w:cs="Courier New"/>
                  <w:color w:val="0000FF"/>
                  <w:sz w:val="18"/>
                  <w:szCs w:val="18"/>
                </w:rPr>
                <w:t>&lt;***&gt;</w:t>
              </w:r>
            </w:hyperlink>
          </w:p>
        </w:tc>
        <w:tc>
          <w:tcPr>
            <w:tcW w:w="129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3   </w:t>
            </w: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r>
      <w:tr w:rsidR="002F5075">
        <w:tblPrEx>
          <w:tblCellMar>
            <w:top w:w="0" w:type="dxa"/>
            <w:bottom w:w="0" w:type="dxa"/>
          </w:tblCellMar>
        </w:tblPrEx>
        <w:trPr>
          <w:trHeight w:val="720"/>
          <w:tblCellSpacing w:w="5" w:type="nil"/>
        </w:trPr>
        <w:tc>
          <w:tcPr>
            <w:tcW w:w="237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Тариф на услуги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по передаче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электрической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энергии       </w:t>
            </w:r>
          </w:p>
        </w:tc>
        <w:tc>
          <w:tcPr>
            <w:tcW w:w="129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4   </w:t>
            </w: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r>
      <w:tr w:rsidR="002F5075">
        <w:tblPrEx>
          <w:tblCellMar>
            <w:top w:w="0" w:type="dxa"/>
            <w:bottom w:w="0" w:type="dxa"/>
          </w:tblCellMar>
        </w:tblPrEx>
        <w:trPr>
          <w:trHeight w:val="360"/>
          <w:tblCellSpacing w:w="5" w:type="nil"/>
        </w:trPr>
        <w:tc>
          <w:tcPr>
            <w:tcW w:w="237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Плата за услуги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ЗАО "ЦФР"      </w:t>
            </w:r>
          </w:p>
        </w:tc>
        <w:tc>
          <w:tcPr>
            <w:tcW w:w="129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5   </w:t>
            </w: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r>
      <w:tr w:rsidR="002F5075">
        <w:tblPrEx>
          <w:tblCellMar>
            <w:top w:w="0" w:type="dxa"/>
            <w:bottom w:w="0" w:type="dxa"/>
          </w:tblCellMar>
        </w:tblPrEx>
        <w:trPr>
          <w:trHeight w:val="540"/>
          <w:tblCellSpacing w:w="5" w:type="nil"/>
        </w:trPr>
        <w:tc>
          <w:tcPr>
            <w:tcW w:w="237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Конечная цена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(тариф) для     </w:t>
            </w:r>
          </w:p>
          <w:p w:rsidR="002F5075" w:rsidRDefault="002F5075">
            <w:pPr>
              <w:widowControl w:val="0"/>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потребителей    </w:t>
            </w:r>
          </w:p>
        </w:tc>
        <w:tc>
          <w:tcPr>
            <w:tcW w:w="129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972"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864"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c>
          <w:tcPr>
            <w:tcW w:w="756"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18"/>
                <w:szCs w:val="18"/>
              </w:rPr>
            </w:pPr>
          </w:p>
        </w:tc>
      </w:tr>
    </w:tbl>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2F5075" w:rsidRDefault="002F5075">
      <w:pPr>
        <w:widowControl w:val="0"/>
        <w:autoSpaceDE w:val="0"/>
        <w:autoSpaceDN w:val="0"/>
        <w:adjustRightInd w:val="0"/>
        <w:spacing w:after="0" w:line="240" w:lineRule="auto"/>
        <w:ind w:firstLine="540"/>
        <w:jc w:val="both"/>
        <w:rPr>
          <w:rFonts w:ascii="Calibri" w:hAnsi="Calibri" w:cs="Calibri"/>
        </w:rPr>
      </w:pPr>
      <w:bookmarkStart w:id="16" w:name="Par269"/>
      <w:bookmarkEnd w:id="16"/>
      <w:r>
        <w:rPr>
          <w:rFonts w:ascii="Calibri" w:hAnsi="Calibri" w:cs="Calibri"/>
        </w:rPr>
        <w:t>&lt;*&gt; Принимается величина, спрогнозированная НП "Совет рынка" на период регулирования, - для ценовых зон ОРЭМ, удельная стоимость оптового рынка электрической энергии и мощности - для неценовых зон ОРЭМ.</w:t>
      </w:r>
    </w:p>
    <w:p w:rsidR="002F5075" w:rsidRDefault="002F5075">
      <w:pPr>
        <w:widowControl w:val="0"/>
        <w:autoSpaceDE w:val="0"/>
        <w:autoSpaceDN w:val="0"/>
        <w:adjustRightInd w:val="0"/>
        <w:spacing w:after="0" w:line="240" w:lineRule="auto"/>
        <w:ind w:firstLine="540"/>
        <w:jc w:val="both"/>
        <w:rPr>
          <w:rFonts w:ascii="Calibri" w:hAnsi="Calibri" w:cs="Calibri"/>
        </w:rPr>
      </w:pPr>
      <w:bookmarkStart w:id="17" w:name="Par270"/>
      <w:bookmarkEnd w:id="17"/>
      <w:r>
        <w:rPr>
          <w:rFonts w:ascii="Calibri" w:hAnsi="Calibri" w:cs="Calibri"/>
        </w:rPr>
        <w:t>&lt;**&gt; Принимается в соответствии с тарифными решениями, принятыми ФСТ России на соответствующий период регулирования.</w:t>
      </w:r>
    </w:p>
    <w:p w:rsidR="002F5075" w:rsidRDefault="002F5075">
      <w:pPr>
        <w:widowControl w:val="0"/>
        <w:autoSpaceDE w:val="0"/>
        <w:autoSpaceDN w:val="0"/>
        <w:adjustRightInd w:val="0"/>
        <w:spacing w:after="0" w:line="240" w:lineRule="auto"/>
        <w:ind w:firstLine="540"/>
        <w:jc w:val="both"/>
        <w:rPr>
          <w:rFonts w:ascii="Calibri" w:hAnsi="Calibri" w:cs="Calibri"/>
        </w:rPr>
      </w:pPr>
      <w:bookmarkStart w:id="18" w:name="Par271"/>
      <w:bookmarkEnd w:id="18"/>
      <w:r>
        <w:rPr>
          <w:rFonts w:ascii="Calibri" w:hAnsi="Calibri" w:cs="Calibri"/>
        </w:rPr>
        <w:lastRenderedPageBreak/>
        <w:t>&lt;***&gt; Учитывается средневзвешенная сбытовая надбавка всех ГП в регионе.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right"/>
        <w:outlineLvl w:val="1"/>
        <w:rPr>
          <w:rFonts w:ascii="Calibri" w:hAnsi="Calibri" w:cs="Calibri"/>
        </w:rPr>
      </w:pPr>
      <w:bookmarkStart w:id="19" w:name="Par277"/>
      <w:bookmarkEnd w:id="19"/>
      <w:r>
        <w:rPr>
          <w:rFonts w:ascii="Calibri" w:hAnsi="Calibri" w:cs="Calibri"/>
        </w:rPr>
        <w:t>Приложение 3а</w:t>
      </w:r>
    </w:p>
    <w:p w:rsidR="002F5075" w:rsidRDefault="002F5075">
      <w:pPr>
        <w:widowControl w:val="0"/>
        <w:autoSpaceDE w:val="0"/>
        <w:autoSpaceDN w:val="0"/>
        <w:adjustRightInd w:val="0"/>
        <w:spacing w:after="0" w:line="240" w:lineRule="auto"/>
        <w:jc w:val="right"/>
        <w:rPr>
          <w:rFonts w:ascii="Calibri" w:hAnsi="Calibri" w:cs="Calibri"/>
        </w:rPr>
      </w:pPr>
      <w:r>
        <w:rPr>
          <w:rFonts w:ascii="Calibri" w:hAnsi="Calibri" w:cs="Calibri"/>
        </w:rPr>
        <w:t>к Методическим указаниям</w:t>
      </w:r>
    </w:p>
    <w:p w:rsidR="002F5075" w:rsidRDefault="002F5075">
      <w:pPr>
        <w:widowControl w:val="0"/>
        <w:autoSpaceDE w:val="0"/>
        <w:autoSpaceDN w:val="0"/>
        <w:adjustRightInd w:val="0"/>
        <w:spacing w:after="0" w:line="240" w:lineRule="auto"/>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72" w:history="1">
        <w:r>
          <w:rPr>
            <w:rFonts w:ascii="Calibri" w:hAnsi="Calibri" w:cs="Calibri"/>
            <w:color w:val="0000FF"/>
          </w:rPr>
          <w:t>Приказа</w:t>
        </w:r>
      </w:hyperlink>
      <w:r>
        <w:rPr>
          <w:rFonts w:ascii="Calibri" w:hAnsi="Calibri" w:cs="Calibri"/>
        </w:rPr>
        <w:t xml:space="preserve"> ФСТ России от 13.09.2012 N 623-э)</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bookmarkStart w:id="20" w:name="Par282"/>
      <w:bookmarkEnd w:id="20"/>
      <w:r>
        <w:rPr>
          <w:rFonts w:ascii="Calibri" w:hAnsi="Calibri" w:cs="Calibri"/>
        </w:rPr>
        <w:t>Информация</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по оценке последствий расторжения договоров аренды</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объектов ЕНЭС по ______________ в ____ г.</w:t>
      </w:r>
    </w:p>
    <w:p w:rsidR="002F5075" w:rsidRDefault="002F5075">
      <w:pPr>
        <w:widowControl w:val="0"/>
        <w:autoSpaceDE w:val="0"/>
        <w:autoSpaceDN w:val="0"/>
        <w:adjustRightInd w:val="0"/>
        <w:spacing w:after="0" w:line="240" w:lineRule="auto"/>
        <w:jc w:val="center"/>
        <w:rPr>
          <w:rFonts w:ascii="Calibri" w:hAnsi="Calibri" w:cs="Calibri"/>
        </w:rPr>
      </w:pPr>
    </w:p>
    <w:p w:rsidR="002F5075" w:rsidRDefault="002F5075">
      <w:pPr>
        <w:widowControl w:val="0"/>
        <w:autoSpaceDE w:val="0"/>
        <w:autoSpaceDN w:val="0"/>
        <w:adjustRightInd w:val="0"/>
        <w:spacing w:after="0" w:line="240" w:lineRule="auto"/>
        <w:jc w:val="center"/>
        <w:outlineLvl w:val="2"/>
        <w:rPr>
          <w:rFonts w:ascii="Calibri" w:hAnsi="Calibri" w:cs="Calibri"/>
        </w:rPr>
      </w:pPr>
      <w:bookmarkStart w:id="21" w:name="Par286"/>
      <w:bookmarkEnd w:id="21"/>
      <w:r>
        <w:rPr>
          <w:rFonts w:ascii="Calibri" w:hAnsi="Calibri" w:cs="Calibri"/>
        </w:rPr>
        <w:t>Утвержденный одноставочный тариф на услуги</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по передаче с учетом установленного тарифа для населения</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и приравненных к нему категорий</w:t>
      </w:r>
    </w:p>
    <w:p w:rsidR="002F5075" w:rsidRDefault="002F5075">
      <w:pPr>
        <w:widowControl w:val="0"/>
        <w:autoSpaceDE w:val="0"/>
        <w:autoSpaceDN w:val="0"/>
        <w:adjustRightInd w:val="0"/>
        <w:spacing w:after="0" w:line="240" w:lineRule="auto"/>
        <w:jc w:val="center"/>
        <w:rPr>
          <w:rFonts w:ascii="Calibri" w:hAnsi="Calibri" w:cs="Calibri"/>
        </w:rPr>
        <w:sectPr w:rsidR="002F5075">
          <w:pgSz w:w="16838" w:h="11905" w:orient="landscape"/>
          <w:pgMar w:top="1701" w:right="1134" w:bottom="850" w:left="1134" w:header="720" w:footer="720" w:gutter="0"/>
          <w:cols w:space="720"/>
          <w:noEndnote/>
        </w:sectPr>
      </w:pPr>
    </w:p>
    <w:p w:rsidR="002F5075" w:rsidRDefault="002F5075">
      <w:pPr>
        <w:widowControl w:val="0"/>
        <w:autoSpaceDE w:val="0"/>
        <w:autoSpaceDN w:val="0"/>
        <w:adjustRightInd w:val="0"/>
        <w:spacing w:after="0" w:line="240" w:lineRule="auto"/>
        <w:jc w:val="both"/>
        <w:rPr>
          <w:rFonts w:ascii="Calibri" w:hAnsi="Calibri" w:cs="Calibri"/>
        </w:rPr>
      </w:pPr>
    </w:p>
    <w:tbl>
      <w:tblPr>
        <w:tblW w:w="0" w:type="auto"/>
        <w:tblCellSpacing w:w="5" w:type="nil"/>
        <w:tblInd w:w="75" w:type="dxa"/>
        <w:tblLayout w:type="fixed"/>
        <w:tblCellMar>
          <w:left w:w="75" w:type="dxa"/>
          <w:right w:w="75" w:type="dxa"/>
        </w:tblCellMar>
        <w:tblLook w:val="0000"/>
      </w:tblPr>
      <w:tblGrid>
        <w:gridCol w:w="5040"/>
        <w:gridCol w:w="1080"/>
        <w:gridCol w:w="840"/>
        <w:gridCol w:w="840"/>
        <w:gridCol w:w="960"/>
        <w:gridCol w:w="840"/>
      </w:tblGrid>
      <w:tr w:rsidR="002F5075">
        <w:tblPrEx>
          <w:tblCellMar>
            <w:top w:w="0" w:type="dxa"/>
            <w:bottom w:w="0" w:type="dxa"/>
          </w:tblCellMar>
        </w:tblPrEx>
        <w:trPr>
          <w:trHeight w:val="400"/>
          <w:tblCellSpacing w:w="5" w:type="nil"/>
        </w:trPr>
        <w:tc>
          <w:tcPr>
            <w:tcW w:w="5040" w:type="dxa"/>
            <w:vMerge w:val="restart"/>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Показатель               </w:t>
            </w:r>
          </w:p>
        </w:tc>
        <w:tc>
          <w:tcPr>
            <w:tcW w:w="1080" w:type="dxa"/>
            <w:vMerge w:val="restart"/>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ВСЕГО </w:t>
            </w:r>
          </w:p>
        </w:tc>
        <w:tc>
          <w:tcPr>
            <w:tcW w:w="3480" w:type="dxa"/>
            <w:gridSpan w:val="4"/>
            <w:tcBorders>
              <w:top w:val="single" w:sz="8" w:space="0" w:color="auto"/>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том числе:       </w:t>
            </w:r>
          </w:p>
        </w:tc>
      </w:tr>
      <w:tr w:rsidR="002F5075">
        <w:tblPrEx>
          <w:tblCellMar>
            <w:top w:w="0" w:type="dxa"/>
            <w:bottom w:w="0" w:type="dxa"/>
          </w:tblCellMar>
        </w:tblPrEx>
        <w:trPr>
          <w:trHeight w:val="400"/>
          <w:tblCellSpacing w:w="5" w:type="nil"/>
        </w:trPr>
        <w:tc>
          <w:tcPr>
            <w:tcW w:w="5040"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1080"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3480" w:type="dxa"/>
            <w:gridSpan w:val="4"/>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по ценовым категориям  </w:t>
            </w:r>
          </w:p>
        </w:tc>
      </w:tr>
      <w:tr w:rsidR="002F5075">
        <w:tblPrEx>
          <w:tblCellMar>
            <w:top w:w="0" w:type="dxa"/>
            <w:bottom w:w="0" w:type="dxa"/>
          </w:tblCellMar>
        </w:tblPrEx>
        <w:trPr>
          <w:tblCellSpacing w:w="5" w:type="nil"/>
        </w:trPr>
        <w:tc>
          <w:tcPr>
            <w:tcW w:w="5040"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1080" w:type="dxa"/>
            <w:vMerge/>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jc w:val="both"/>
              <w:rPr>
                <w:rFonts w:ascii="Calibri" w:hAnsi="Calibri" w:cs="Calibri"/>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ВН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СН1 </w:t>
            </w: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СН2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НН  </w:t>
            </w:r>
          </w:p>
        </w:tc>
      </w:tr>
      <w:tr w:rsidR="002F5075">
        <w:tblPrEx>
          <w:tblCellMar>
            <w:top w:w="0" w:type="dxa"/>
            <w:bottom w:w="0" w:type="dxa"/>
          </w:tblCellMar>
        </w:tblPrEx>
        <w:trPr>
          <w:trHeight w:val="8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Средневзвешенная цена (тариф) поставки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электроэнергии (мощности) потребителям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(до отказа от "последней мили"),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руб./МВтч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rHeight w:val="4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Полезный отпуск всего, в том числе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потребители "последней мили" млн. кВтч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rHeight w:val="4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 том числе: объем полезного отпуска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потребителям "последней мили", млн. кВтч</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rHeight w:val="4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Расходы РСК (в том числе по оплате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потерь), млн. руб.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rHeight w:val="4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Расходы на содержание сетей ОАО "ФСК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ЕЭС" всего, тыс. руб.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r>
      <w:tr w:rsidR="002F5075">
        <w:tblPrEx>
          <w:tblCellMar>
            <w:top w:w="0" w:type="dxa"/>
            <w:bottom w:w="0" w:type="dxa"/>
          </w:tblCellMar>
        </w:tblPrEx>
        <w:trPr>
          <w:trHeight w:val="4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Заявленная мощность всех потребителей,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присоединенных к сетям ФСК, мВт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3480" w:type="dxa"/>
            <w:gridSpan w:val="4"/>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rHeight w:val="6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 том числе: заявленная мощность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потребителей по договорам "последней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мили", мВт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3480" w:type="dxa"/>
            <w:gridSpan w:val="4"/>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rHeight w:val="4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Заявленная мощность потребителей,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присоединенных к сетям РСК, мВт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rHeight w:val="4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Эффект от расторжения договоров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"последней мили", млн. руб.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r>
      <w:tr w:rsidR="002F5075">
        <w:tblPrEx>
          <w:tblCellMar>
            <w:top w:w="0" w:type="dxa"/>
            <w:bottom w:w="0" w:type="dxa"/>
          </w:tblCellMar>
        </w:tblPrEx>
        <w:trPr>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 том числе: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rHeight w:val="6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дополнительная нагрузка потребителей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"котла" (выпадающая выручка ТСО),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млн. руб.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r>
      <w:tr w:rsidR="002F5075">
        <w:tblPrEx>
          <w:tblCellMar>
            <w:top w:w="0" w:type="dxa"/>
            <w:bottom w:w="0" w:type="dxa"/>
          </w:tblCellMar>
        </w:tblPrEx>
        <w:trPr>
          <w:trHeight w:val="4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за счет увеличения перекрестного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субсидирования населения, млн. руб.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X    </w:t>
            </w:r>
          </w:p>
        </w:tc>
      </w:tr>
      <w:tr w:rsidR="002F5075">
        <w:tblPrEx>
          <w:tblCellMar>
            <w:top w:w="0" w:type="dxa"/>
            <w:bottom w:w="0" w:type="dxa"/>
          </w:tblCellMar>
        </w:tblPrEx>
        <w:trPr>
          <w:trHeight w:val="600"/>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Средняя цена (тариф) для потребителей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(в случае отказа от "последней мили"),  </w:t>
            </w:r>
          </w:p>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руб./МВтч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r w:rsidR="002F5075">
        <w:tblPrEx>
          <w:tblCellMar>
            <w:top w:w="0" w:type="dxa"/>
            <w:bottom w:w="0" w:type="dxa"/>
          </w:tblCellMar>
        </w:tblPrEx>
        <w:trPr>
          <w:tblCellSpacing w:w="5" w:type="nil"/>
        </w:trPr>
        <w:tc>
          <w:tcPr>
            <w:tcW w:w="50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Изменение цены (тарифа), %              </w:t>
            </w:r>
          </w:p>
        </w:tc>
        <w:tc>
          <w:tcPr>
            <w:tcW w:w="108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96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c>
          <w:tcPr>
            <w:tcW w:w="840" w:type="dxa"/>
            <w:tcBorders>
              <w:left w:val="single" w:sz="8" w:space="0" w:color="auto"/>
              <w:bottom w:val="single" w:sz="8" w:space="0" w:color="auto"/>
              <w:right w:val="single" w:sz="8" w:space="0" w:color="auto"/>
            </w:tcBorders>
          </w:tcPr>
          <w:p w:rsidR="002F5075" w:rsidRDefault="002F5075">
            <w:pPr>
              <w:widowControl w:val="0"/>
              <w:autoSpaceDE w:val="0"/>
              <w:autoSpaceDN w:val="0"/>
              <w:adjustRightInd w:val="0"/>
              <w:spacing w:after="0" w:line="240" w:lineRule="auto"/>
              <w:rPr>
                <w:rFonts w:ascii="Courier New" w:hAnsi="Courier New" w:cs="Courier New"/>
                <w:sz w:val="20"/>
                <w:szCs w:val="20"/>
              </w:rPr>
            </w:pPr>
          </w:p>
        </w:tc>
      </w:tr>
    </w:tbl>
    <w:p w:rsidR="002F5075" w:rsidRDefault="002F5075">
      <w:pPr>
        <w:widowControl w:val="0"/>
        <w:autoSpaceDE w:val="0"/>
        <w:autoSpaceDN w:val="0"/>
        <w:adjustRightInd w:val="0"/>
        <w:spacing w:after="0" w:line="240" w:lineRule="auto"/>
        <w:ind w:firstLine="540"/>
        <w:rPr>
          <w:rFonts w:ascii="Calibri" w:hAnsi="Calibri" w:cs="Calibri"/>
        </w:rPr>
      </w:pPr>
    </w:p>
    <w:p w:rsidR="002F5075" w:rsidRDefault="002F5075">
      <w:pPr>
        <w:widowControl w:val="0"/>
        <w:autoSpaceDE w:val="0"/>
        <w:autoSpaceDN w:val="0"/>
        <w:adjustRightInd w:val="0"/>
        <w:spacing w:after="0" w:line="240" w:lineRule="auto"/>
        <w:ind w:firstLine="540"/>
        <w:rPr>
          <w:rFonts w:ascii="Calibri" w:hAnsi="Calibri" w:cs="Calibri"/>
        </w:rPr>
      </w:pPr>
    </w:p>
    <w:p w:rsidR="002F5075" w:rsidRDefault="002F5075">
      <w:pPr>
        <w:widowControl w:val="0"/>
        <w:autoSpaceDE w:val="0"/>
        <w:autoSpaceDN w:val="0"/>
        <w:adjustRightInd w:val="0"/>
        <w:spacing w:after="0" w:line="240" w:lineRule="auto"/>
        <w:ind w:firstLine="540"/>
        <w:rPr>
          <w:rFonts w:ascii="Calibri" w:hAnsi="Calibri" w:cs="Calibri"/>
        </w:rPr>
      </w:pPr>
    </w:p>
    <w:p w:rsidR="002F5075" w:rsidRDefault="002F5075">
      <w:pPr>
        <w:widowControl w:val="0"/>
        <w:autoSpaceDE w:val="0"/>
        <w:autoSpaceDN w:val="0"/>
        <w:adjustRightInd w:val="0"/>
        <w:spacing w:after="0" w:line="240" w:lineRule="auto"/>
        <w:ind w:firstLine="540"/>
        <w:rPr>
          <w:rFonts w:ascii="Calibri" w:hAnsi="Calibri" w:cs="Calibri"/>
        </w:rPr>
      </w:pPr>
    </w:p>
    <w:p w:rsidR="002F5075" w:rsidRDefault="002F5075">
      <w:pPr>
        <w:widowControl w:val="0"/>
        <w:autoSpaceDE w:val="0"/>
        <w:autoSpaceDN w:val="0"/>
        <w:adjustRightInd w:val="0"/>
        <w:spacing w:after="0" w:line="240" w:lineRule="auto"/>
        <w:ind w:firstLine="540"/>
        <w:rPr>
          <w:rFonts w:ascii="Calibri" w:hAnsi="Calibri" w:cs="Calibri"/>
        </w:rPr>
      </w:pPr>
    </w:p>
    <w:p w:rsidR="002F5075" w:rsidRDefault="002F5075">
      <w:pPr>
        <w:widowControl w:val="0"/>
        <w:autoSpaceDE w:val="0"/>
        <w:autoSpaceDN w:val="0"/>
        <w:adjustRightInd w:val="0"/>
        <w:spacing w:after="0" w:line="240" w:lineRule="auto"/>
        <w:jc w:val="right"/>
        <w:outlineLvl w:val="1"/>
        <w:rPr>
          <w:rFonts w:ascii="Calibri" w:hAnsi="Calibri" w:cs="Calibri"/>
        </w:rPr>
      </w:pPr>
      <w:bookmarkStart w:id="22" w:name="Par347"/>
      <w:bookmarkEnd w:id="22"/>
      <w:r>
        <w:rPr>
          <w:rFonts w:ascii="Calibri" w:hAnsi="Calibri" w:cs="Calibri"/>
        </w:rPr>
        <w:t>Приложение 3б</w:t>
      </w:r>
    </w:p>
    <w:p w:rsidR="002F5075" w:rsidRDefault="002F5075">
      <w:pPr>
        <w:widowControl w:val="0"/>
        <w:autoSpaceDE w:val="0"/>
        <w:autoSpaceDN w:val="0"/>
        <w:adjustRightInd w:val="0"/>
        <w:spacing w:after="0" w:line="240" w:lineRule="auto"/>
        <w:jc w:val="right"/>
        <w:rPr>
          <w:rFonts w:ascii="Calibri" w:hAnsi="Calibri" w:cs="Calibri"/>
        </w:rPr>
      </w:pPr>
      <w:r>
        <w:rPr>
          <w:rFonts w:ascii="Calibri" w:hAnsi="Calibri" w:cs="Calibri"/>
        </w:rPr>
        <w:t>к Методическим указаниям</w:t>
      </w:r>
    </w:p>
    <w:p w:rsidR="002F5075" w:rsidRDefault="002F5075">
      <w:pPr>
        <w:widowControl w:val="0"/>
        <w:autoSpaceDE w:val="0"/>
        <w:autoSpaceDN w:val="0"/>
        <w:adjustRightInd w:val="0"/>
        <w:spacing w:after="0" w:line="240" w:lineRule="auto"/>
        <w:jc w:val="right"/>
        <w:rPr>
          <w:rFonts w:ascii="Calibri" w:hAnsi="Calibri" w:cs="Calibri"/>
        </w:rPr>
      </w:pPr>
    </w:p>
    <w:p w:rsidR="002F5075" w:rsidRDefault="002F5075">
      <w:pPr>
        <w:widowControl w:val="0"/>
        <w:autoSpaceDE w:val="0"/>
        <w:autoSpaceDN w:val="0"/>
        <w:adjustRightInd w:val="0"/>
        <w:spacing w:after="0" w:line="240" w:lineRule="auto"/>
        <w:jc w:val="center"/>
        <w:rPr>
          <w:rFonts w:ascii="Calibri" w:hAnsi="Calibri" w:cs="Calibri"/>
        </w:rPr>
      </w:pPr>
      <w:bookmarkStart w:id="23" w:name="Par350"/>
      <w:bookmarkEnd w:id="23"/>
      <w:r>
        <w:rPr>
          <w:rFonts w:ascii="Calibri" w:hAnsi="Calibri" w:cs="Calibri"/>
        </w:rPr>
        <w:t>ПАРАМЕТРЫ РАСЧЕТА</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КОЭФФИЦИЕНТА АЛЬФА ДО И ПОСЛЕ РАСТОРЖЕНИЯ ДОГОВОРОВ</w:t>
      </w:r>
    </w:p>
    <w:p w:rsidR="002F5075" w:rsidRDefault="002F5075">
      <w:pPr>
        <w:widowControl w:val="0"/>
        <w:autoSpaceDE w:val="0"/>
        <w:autoSpaceDN w:val="0"/>
        <w:adjustRightInd w:val="0"/>
        <w:spacing w:after="0" w:line="240" w:lineRule="auto"/>
        <w:jc w:val="center"/>
        <w:rPr>
          <w:rFonts w:ascii="Calibri" w:hAnsi="Calibri" w:cs="Calibri"/>
        </w:rPr>
      </w:pPr>
      <w:r>
        <w:rPr>
          <w:rFonts w:ascii="Calibri" w:hAnsi="Calibri" w:cs="Calibri"/>
        </w:rPr>
        <w:t>"ПОСЛЕДНЕЙ МИЛИ"</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         Параметры расчета         │  Ед. изм. │ ВН  │ СНI  │СНII │  НН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                 1                 │     2     │  3  │  4   │  5  │  6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│Утвержденный одноставочный тариф   │ руб./МВт.ч│     │      │     │      │</w:t>
      </w:r>
    </w:p>
    <w:p w:rsidR="002F5075" w:rsidRDefault="002F5075">
      <w:pPr>
        <w:pStyle w:val="ConsPlusCell"/>
        <w:rPr>
          <w:rFonts w:ascii="Courier New" w:hAnsi="Courier New" w:cs="Courier New"/>
          <w:sz w:val="20"/>
          <w:szCs w:val="20"/>
        </w:rPr>
      </w:pPr>
      <w:r>
        <w:rPr>
          <w:rFonts w:ascii="Courier New" w:hAnsi="Courier New" w:cs="Courier New"/>
          <w:sz w:val="20"/>
          <w:szCs w:val="20"/>
        </w:rPr>
        <w:t>│на услуги по передаче с учетом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│установленного тарифа для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│населения и приравненных к нему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│категорий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lastRenderedPageBreak/>
        <w:t>│Расчетный одноставочный тариф на   │ руб./МВт.ч│     │      │     │      │</w:t>
      </w:r>
    </w:p>
    <w:p w:rsidR="002F5075" w:rsidRDefault="002F5075">
      <w:pPr>
        <w:pStyle w:val="ConsPlusCell"/>
        <w:rPr>
          <w:rFonts w:ascii="Courier New" w:hAnsi="Courier New" w:cs="Courier New"/>
          <w:sz w:val="20"/>
          <w:szCs w:val="20"/>
        </w:rPr>
      </w:pPr>
      <w:r>
        <w:rPr>
          <w:rFonts w:ascii="Courier New" w:hAnsi="Courier New" w:cs="Courier New"/>
          <w:sz w:val="20"/>
          <w:szCs w:val="20"/>
        </w:rPr>
        <w:t>│услуги по передаче в соответствии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 xml:space="preserve">│с </w:t>
      </w:r>
      <w:hyperlink r:id="rId73" w:history="1">
        <w:r>
          <w:rPr>
            <w:rFonts w:ascii="Courier New" w:hAnsi="Courier New" w:cs="Courier New"/>
            <w:color w:val="0000FF"/>
            <w:sz w:val="20"/>
            <w:szCs w:val="20"/>
          </w:rPr>
          <w:t>МУ 20-э/2</w:t>
        </w:r>
      </w:hyperlink>
      <w:r>
        <w:rPr>
          <w:rFonts w:ascii="Courier New" w:hAnsi="Courier New" w:cs="Courier New"/>
          <w:sz w:val="20"/>
          <w:szCs w:val="20"/>
        </w:rPr>
        <w:t xml:space="preserve">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│Альфа                              │ руб./МВт.ч│  0  │  0   │  0  │  0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│Одноставочный тариф на услуги по   │ руб./МВт.ч│     │      │     │      │</w:t>
      </w:r>
    </w:p>
    <w:p w:rsidR="002F5075" w:rsidRDefault="002F5075">
      <w:pPr>
        <w:pStyle w:val="ConsPlusCell"/>
        <w:rPr>
          <w:rFonts w:ascii="Courier New" w:hAnsi="Courier New" w:cs="Courier New"/>
          <w:sz w:val="20"/>
          <w:szCs w:val="20"/>
        </w:rPr>
      </w:pPr>
      <w:r>
        <w:rPr>
          <w:rFonts w:ascii="Courier New" w:hAnsi="Courier New" w:cs="Courier New"/>
          <w:sz w:val="20"/>
          <w:szCs w:val="20"/>
        </w:rPr>
        <w:t>│передаче, предполагаемый к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│утверждению с учетом отмены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│"последней мили"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│Расчетный одноставочный тариф на   │ руб./МВт.ч│     │      │     │      │</w:t>
      </w:r>
    </w:p>
    <w:p w:rsidR="002F5075" w:rsidRDefault="002F5075">
      <w:pPr>
        <w:pStyle w:val="ConsPlusCell"/>
        <w:rPr>
          <w:rFonts w:ascii="Courier New" w:hAnsi="Courier New" w:cs="Courier New"/>
          <w:sz w:val="20"/>
          <w:szCs w:val="20"/>
        </w:rPr>
      </w:pPr>
      <w:r>
        <w:rPr>
          <w:rFonts w:ascii="Courier New" w:hAnsi="Courier New" w:cs="Courier New"/>
          <w:sz w:val="20"/>
          <w:szCs w:val="20"/>
        </w:rPr>
        <w:t>│услуги по передаче, в соответствии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 xml:space="preserve">│с </w:t>
      </w:r>
      <w:hyperlink r:id="rId74" w:history="1">
        <w:r>
          <w:rPr>
            <w:rFonts w:ascii="Courier New" w:hAnsi="Courier New" w:cs="Courier New"/>
            <w:color w:val="0000FF"/>
            <w:sz w:val="20"/>
            <w:szCs w:val="20"/>
          </w:rPr>
          <w:t>МУ 20-э/2</w:t>
        </w:r>
      </w:hyperlink>
      <w:r>
        <w:rPr>
          <w:rFonts w:ascii="Courier New" w:hAnsi="Courier New" w:cs="Courier New"/>
          <w:sz w:val="20"/>
          <w:szCs w:val="20"/>
        </w:rPr>
        <w:t>, с учетом отмены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│"последней мили"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│Альфа с учетом отмены "последней   │ руб./МВт.ч│  0  │  0   │  0  │  0   │</w:t>
      </w:r>
    </w:p>
    <w:p w:rsidR="002F5075" w:rsidRDefault="002F5075">
      <w:pPr>
        <w:pStyle w:val="ConsPlusCell"/>
        <w:rPr>
          <w:rFonts w:ascii="Courier New" w:hAnsi="Courier New" w:cs="Courier New"/>
          <w:sz w:val="20"/>
          <w:szCs w:val="20"/>
        </w:rPr>
      </w:pPr>
      <w:r>
        <w:rPr>
          <w:rFonts w:ascii="Courier New" w:hAnsi="Courier New" w:cs="Courier New"/>
          <w:sz w:val="20"/>
          <w:szCs w:val="20"/>
        </w:rPr>
        <w:t>│мили"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│_                                  │   руб.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│Д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 нас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pStyle w:val="ConsPlusCell"/>
        <w:rPr>
          <w:rFonts w:ascii="Courier New" w:hAnsi="Courier New" w:cs="Courier New"/>
          <w:sz w:val="20"/>
          <w:szCs w:val="20"/>
        </w:rPr>
      </w:pPr>
      <w:r>
        <w:rPr>
          <w:rFonts w:ascii="Courier New" w:hAnsi="Courier New" w:cs="Courier New"/>
          <w:sz w:val="20"/>
          <w:szCs w:val="20"/>
        </w:rPr>
        <w:t>│_                                  │   руб.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│Д'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 нас                               │           │     │      │     │      │</w:t>
      </w:r>
    </w:p>
    <w:p w:rsidR="002F5075" w:rsidRDefault="002F5075">
      <w:pPr>
        <w:pStyle w:val="ConsPlusCell"/>
        <w:rPr>
          <w:rFonts w:ascii="Courier New" w:hAnsi="Courier New" w:cs="Courier New"/>
          <w:sz w:val="20"/>
          <w:szCs w:val="20"/>
        </w:rPr>
      </w:pPr>
      <w:r>
        <w:rPr>
          <w:rFonts w:ascii="Courier New" w:hAnsi="Courier New" w:cs="Courier New"/>
          <w:sz w:val="20"/>
          <w:szCs w:val="20"/>
        </w:rPr>
        <w:t>└───────────────────────────────────┴───────────┴─────┴──────┴─────┴──────┘</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2F5075" w:rsidRDefault="002F50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&lt;*&gt; Рассчитывается с учетом средневзвешенной сбытовой надбавки всех ГП в регионе.</w:t>
      </w: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autoSpaceDE w:val="0"/>
        <w:autoSpaceDN w:val="0"/>
        <w:adjustRightInd w:val="0"/>
        <w:spacing w:after="0" w:line="240" w:lineRule="auto"/>
        <w:ind w:firstLine="540"/>
        <w:jc w:val="both"/>
        <w:rPr>
          <w:rFonts w:ascii="Calibri" w:hAnsi="Calibri" w:cs="Calibri"/>
        </w:rPr>
      </w:pPr>
    </w:p>
    <w:p w:rsidR="002F5075" w:rsidRDefault="002F507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3F6623" w:rsidRDefault="003F6623"/>
    <w:sectPr w:rsidR="003F6623">
      <w:pgSz w:w="11905" w:h="16838"/>
      <w:pgMar w:top="1134"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7"/>
  <w:defaultTabStop w:val="708"/>
  <w:characterSpacingControl w:val="doNotCompress"/>
  <w:compat/>
  <w:rsids>
    <w:rsidRoot w:val="002F5075"/>
    <w:rsid w:val="0000197C"/>
    <w:rsid w:val="00005125"/>
    <w:rsid w:val="0000610B"/>
    <w:rsid w:val="00006AAA"/>
    <w:rsid w:val="000102FC"/>
    <w:rsid w:val="000110D2"/>
    <w:rsid w:val="0001227A"/>
    <w:rsid w:val="00014043"/>
    <w:rsid w:val="0001441A"/>
    <w:rsid w:val="000152B7"/>
    <w:rsid w:val="000153A1"/>
    <w:rsid w:val="00016C1F"/>
    <w:rsid w:val="000206E2"/>
    <w:rsid w:val="0002188F"/>
    <w:rsid w:val="00023989"/>
    <w:rsid w:val="000258DC"/>
    <w:rsid w:val="00026F5B"/>
    <w:rsid w:val="00027C96"/>
    <w:rsid w:val="0003038A"/>
    <w:rsid w:val="00031CAA"/>
    <w:rsid w:val="000325E0"/>
    <w:rsid w:val="00033625"/>
    <w:rsid w:val="00033B97"/>
    <w:rsid w:val="000341B0"/>
    <w:rsid w:val="00034500"/>
    <w:rsid w:val="00036274"/>
    <w:rsid w:val="00036C41"/>
    <w:rsid w:val="00040A99"/>
    <w:rsid w:val="0004277D"/>
    <w:rsid w:val="00042943"/>
    <w:rsid w:val="00042F37"/>
    <w:rsid w:val="000433EB"/>
    <w:rsid w:val="000448A2"/>
    <w:rsid w:val="00044D63"/>
    <w:rsid w:val="000455C8"/>
    <w:rsid w:val="00047C7B"/>
    <w:rsid w:val="000502D8"/>
    <w:rsid w:val="00051936"/>
    <w:rsid w:val="0005205E"/>
    <w:rsid w:val="00052B15"/>
    <w:rsid w:val="00052C35"/>
    <w:rsid w:val="00052E37"/>
    <w:rsid w:val="00052E47"/>
    <w:rsid w:val="000547E3"/>
    <w:rsid w:val="00054A0E"/>
    <w:rsid w:val="00054FA2"/>
    <w:rsid w:val="000557A5"/>
    <w:rsid w:val="00055A6B"/>
    <w:rsid w:val="000567DC"/>
    <w:rsid w:val="000567E6"/>
    <w:rsid w:val="00057A0B"/>
    <w:rsid w:val="00057C16"/>
    <w:rsid w:val="00060113"/>
    <w:rsid w:val="00060C01"/>
    <w:rsid w:val="00060E48"/>
    <w:rsid w:val="00061800"/>
    <w:rsid w:val="00062118"/>
    <w:rsid w:val="00063FC9"/>
    <w:rsid w:val="0006649D"/>
    <w:rsid w:val="00066BBC"/>
    <w:rsid w:val="0006744C"/>
    <w:rsid w:val="00070A39"/>
    <w:rsid w:val="00070C8C"/>
    <w:rsid w:val="00071AF4"/>
    <w:rsid w:val="00071D3D"/>
    <w:rsid w:val="00072BF3"/>
    <w:rsid w:val="00072C41"/>
    <w:rsid w:val="00072CC5"/>
    <w:rsid w:val="00072E7D"/>
    <w:rsid w:val="00073667"/>
    <w:rsid w:val="000738C4"/>
    <w:rsid w:val="00073A19"/>
    <w:rsid w:val="00073F9D"/>
    <w:rsid w:val="00074A42"/>
    <w:rsid w:val="00074E46"/>
    <w:rsid w:val="00074F73"/>
    <w:rsid w:val="00076015"/>
    <w:rsid w:val="000763AB"/>
    <w:rsid w:val="00081851"/>
    <w:rsid w:val="00083035"/>
    <w:rsid w:val="00086581"/>
    <w:rsid w:val="000932FD"/>
    <w:rsid w:val="00094E2E"/>
    <w:rsid w:val="00095A74"/>
    <w:rsid w:val="00095BDE"/>
    <w:rsid w:val="00096CBD"/>
    <w:rsid w:val="0009732F"/>
    <w:rsid w:val="000978B1"/>
    <w:rsid w:val="000A02D1"/>
    <w:rsid w:val="000A1C03"/>
    <w:rsid w:val="000A274D"/>
    <w:rsid w:val="000A4B8E"/>
    <w:rsid w:val="000B0628"/>
    <w:rsid w:val="000B0FE3"/>
    <w:rsid w:val="000B412D"/>
    <w:rsid w:val="000B42EE"/>
    <w:rsid w:val="000B7297"/>
    <w:rsid w:val="000B78F8"/>
    <w:rsid w:val="000C053E"/>
    <w:rsid w:val="000C2279"/>
    <w:rsid w:val="000C2531"/>
    <w:rsid w:val="000C2A06"/>
    <w:rsid w:val="000C32A6"/>
    <w:rsid w:val="000C3D3B"/>
    <w:rsid w:val="000C3FE3"/>
    <w:rsid w:val="000C59CC"/>
    <w:rsid w:val="000C7051"/>
    <w:rsid w:val="000C7C93"/>
    <w:rsid w:val="000D0D86"/>
    <w:rsid w:val="000D295E"/>
    <w:rsid w:val="000D3CB1"/>
    <w:rsid w:val="000D433C"/>
    <w:rsid w:val="000D4BB1"/>
    <w:rsid w:val="000D4E50"/>
    <w:rsid w:val="000D516E"/>
    <w:rsid w:val="000D58CC"/>
    <w:rsid w:val="000D7649"/>
    <w:rsid w:val="000E0CB9"/>
    <w:rsid w:val="000E2087"/>
    <w:rsid w:val="000E22C6"/>
    <w:rsid w:val="000E29BA"/>
    <w:rsid w:val="000E2A71"/>
    <w:rsid w:val="000E38EE"/>
    <w:rsid w:val="000E3EBA"/>
    <w:rsid w:val="000E48D0"/>
    <w:rsid w:val="000E4920"/>
    <w:rsid w:val="000E4EC1"/>
    <w:rsid w:val="000E6BC6"/>
    <w:rsid w:val="000E6DA2"/>
    <w:rsid w:val="000E7021"/>
    <w:rsid w:val="000E7D4E"/>
    <w:rsid w:val="000F1644"/>
    <w:rsid w:val="000F2380"/>
    <w:rsid w:val="000F2996"/>
    <w:rsid w:val="000F348B"/>
    <w:rsid w:val="000F53C7"/>
    <w:rsid w:val="000F53FE"/>
    <w:rsid w:val="000F6C25"/>
    <w:rsid w:val="000F7A4A"/>
    <w:rsid w:val="00100283"/>
    <w:rsid w:val="00100F13"/>
    <w:rsid w:val="00101CF0"/>
    <w:rsid w:val="00102699"/>
    <w:rsid w:val="00104EA1"/>
    <w:rsid w:val="00105904"/>
    <w:rsid w:val="00105B9B"/>
    <w:rsid w:val="00105DB1"/>
    <w:rsid w:val="0010740F"/>
    <w:rsid w:val="001074ED"/>
    <w:rsid w:val="00107937"/>
    <w:rsid w:val="00107989"/>
    <w:rsid w:val="001101BD"/>
    <w:rsid w:val="0011143A"/>
    <w:rsid w:val="00111CBC"/>
    <w:rsid w:val="0011264C"/>
    <w:rsid w:val="00113B02"/>
    <w:rsid w:val="001151CA"/>
    <w:rsid w:val="00116A26"/>
    <w:rsid w:val="001171C6"/>
    <w:rsid w:val="00117399"/>
    <w:rsid w:val="001178F3"/>
    <w:rsid w:val="00120D3E"/>
    <w:rsid w:val="00121007"/>
    <w:rsid w:val="00121126"/>
    <w:rsid w:val="00121809"/>
    <w:rsid w:val="001228E0"/>
    <w:rsid w:val="001237FC"/>
    <w:rsid w:val="0012410E"/>
    <w:rsid w:val="00125841"/>
    <w:rsid w:val="001261E9"/>
    <w:rsid w:val="0012629D"/>
    <w:rsid w:val="00126FFB"/>
    <w:rsid w:val="00130869"/>
    <w:rsid w:val="001318FC"/>
    <w:rsid w:val="00131AB3"/>
    <w:rsid w:val="001348E0"/>
    <w:rsid w:val="00136618"/>
    <w:rsid w:val="001379B9"/>
    <w:rsid w:val="0014135B"/>
    <w:rsid w:val="0014205F"/>
    <w:rsid w:val="001442DB"/>
    <w:rsid w:val="001450DB"/>
    <w:rsid w:val="0014534E"/>
    <w:rsid w:val="001458E2"/>
    <w:rsid w:val="0014634F"/>
    <w:rsid w:val="00147C31"/>
    <w:rsid w:val="00147FA0"/>
    <w:rsid w:val="001509A8"/>
    <w:rsid w:val="00151F51"/>
    <w:rsid w:val="00152397"/>
    <w:rsid w:val="0015325F"/>
    <w:rsid w:val="001548D1"/>
    <w:rsid w:val="00154E21"/>
    <w:rsid w:val="00155807"/>
    <w:rsid w:val="00155B30"/>
    <w:rsid w:val="00155C3F"/>
    <w:rsid w:val="00157403"/>
    <w:rsid w:val="001575B4"/>
    <w:rsid w:val="00160279"/>
    <w:rsid w:val="00162F2B"/>
    <w:rsid w:val="00162F31"/>
    <w:rsid w:val="001652E2"/>
    <w:rsid w:val="001660D4"/>
    <w:rsid w:val="001662BB"/>
    <w:rsid w:val="00166388"/>
    <w:rsid w:val="001678DC"/>
    <w:rsid w:val="00170111"/>
    <w:rsid w:val="00170F9A"/>
    <w:rsid w:val="00171E41"/>
    <w:rsid w:val="0017264E"/>
    <w:rsid w:val="00173785"/>
    <w:rsid w:val="00174169"/>
    <w:rsid w:val="001742F1"/>
    <w:rsid w:val="001746D4"/>
    <w:rsid w:val="00174718"/>
    <w:rsid w:val="001751D3"/>
    <w:rsid w:val="00176A56"/>
    <w:rsid w:val="00176CDE"/>
    <w:rsid w:val="00182135"/>
    <w:rsid w:val="0018224B"/>
    <w:rsid w:val="0018244C"/>
    <w:rsid w:val="00183902"/>
    <w:rsid w:val="0018454D"/>
    <w:rsid w:val="0018564A"/>
    <w:rsid w:val="001856A1"/>
    <w:rsid w:val="001858A3"/>
    <w:rsid w:val="00186974"/>
    <w:rsid w:val="00187749"/>
    <w:rsid w:val="00190AF4"/>
    <w:rsid w:val="00190D37"/>
    <w:rsid w:val="0019211C"/>
    <w:rsid w:val="00192821"/>
    <w:rsid w:val="00193067"/>
    <w:rsid w:val="001A181B"/>
    <w:rsid w:val="001A309D"/>
    <w:rsid w:val="001A357C"/>
    <w:rsid w:val="001A4BFB"/>
    <w:rsid w:val="001A515C"/>
    <w:rsid w:val="001A7530"/>
    <w:rsid w:val="001B00DF"/>
    <w:rsid w:val="001B00F0"/>
    <w:rsid w:val="001B1D8F"/>
    <w:rsid w:val="001B37D1"/>
    <w:rsid w:val="001B50E5"/>
    <w:rsid w:val="001B563E"/>
    <w:rsid w:val="001B5E4A"/>
    <w:rsid w:val="001B7211"/>
    <w:rsid w:val="001B7C90"/>
    <w:rsid w:val="001C235E"/>
    <w:rsid w:val="001C2A5E"/>
    <w:rsid w:val="001C2A84"/>
    <w:rsid w:val="001C3627"/>
    <w:rsid w:val="001C46C3"/>
    <w:rsid w:val="001C4D9D"/>
    <w:rsid w:val="001D0877"/>
    <w:rsid w:val="001D1BCA"/>
    <w:rsid w:val="001D34D6"/>
    <w:rsid w:val="001D4405"/>
    <w:rsid w:val="001D51E5"/>
    <w:rsid w:val="001D6342"/>
    <w:rsid w:val="001E1153"/>
    <w:rsid w:val="001E1563"/>
    <w:rsid w:val="001E15C7"/>
    <w:rsid w:val="001E26D3"/>
    <w:rsid w:val="001E29D8"/>
    <w:rsid w:val="001E390C"/>
    <w:rsid w:val="001E4616"/>
    <w:rsid w:val="001E6771"/>
    <w:rsid w:val="001E7788"/>
    <w:rsid w:val="001E7B24"/>
    <w:rsid w:val="001F08EC"/>
    <w:rsid w:val="001F0FC6"/>
    <w:rsid w:val="001F1036"/>
    <w:rsid w:val="001F141B"/>
    <w:rsid w:val="001F1F6B"/>
    <w:rsid w:val="001F29EC"/>
    <w:rsid w:val="001F2A66"/>
    <w:rsid w:val="001F3AF9"/>
    <w:rsid w:val="001F3E16"/>
    <w:rsid w:val="001F47DE"/>
    <w:rsid w:val="0020085B"/>
    <w:rsid w:val="00200DDB"/>
    <w:rsid w:val="002012A5"/>
    <w:rsid w:val="00202B67"/>
    <w:rsid w:val="002040BB"/>
    <w:rsid w:val="00204BEA"/>
    <w:rsid w:val="00205911"/>
    <w:rsid w:val="002065E4"/>
    <w:rsid w:val="00206C02"/>
    <w:rsid w:val="002074C5"/>
    <w:rsid w:val="00210CF2"/>
    <w:rsid w:val="00211402"/>
    <w:rsid w:val="0021154F"/>
    <w:rsid w:val="00212839"/>
    <w:rsid w:val="002129B8"/>
    <w:rsid w:val="002159AC"/>
    <w:rsid w:val="00216967"/>
    <w:rsid w:val="00216E09"/>
    <w:rsid w:val="002228A0"/>
    <w:rsid w:val="00223086"/>
    <w:rsid w:val="00223464"/>
    <w:rsid w:val="002238C6"/>
    <w:rsid w:val="00223991"/>
    <w:rsid w:val="00223D4D"/>
    <w:rsid w:val="0022491C"/>
    <w:rsid w:val="00224A52"/>
    <w:rsid w:val="00225140"/>
    <w:rsid w:val="00225378"/>
    <w:rsid w:val="00225D2F"/>
    <w:rsid w:val="00227218"/>
    <w:rsid w:val="00227690"/>
    <w:rsid w:val="00230809"/>
    <w:rsid w:val="00231840"/>
    <w:rsid w:val="002346FC"/>
    <w:rsid w:val="00234A13"/>
    <w:rsid w:val="00235466"/>
    <w:rsid w:val="00236336"/>
    <w:rsid w:val="00236F57"/>
    <w:rsid w:val="0023795C"/>
    <w:rsid w:val="002403E8"/>
    <w:rsid w:val="00240D0A"/>
    <w:rsid w:val="00241791"/>
    <w:rsid w:val="0024206C"/>
    <w:rsid w:val="002431EF"/>
    <w:rsid w:val="00243287"/>
    <w:rsid w:val="00243988"/>
    <w:rsid w:val="0024434A"/>
    <w:rsid w:val="00245462"/>
    <w:rsid w:val="002459DF"/>
    <w:rsid w:val="00245B61"/>
    <w:rsid w:val="00246790"/>
    <w:rsid w:val="00247035"/>
    <w:rsid w:val="002477CC"/>
    <w:rsid w:val="002479A0"/>
    <w:rsid w:val="00252310"/>
    <w:rsid w:val="00255006"/>
    <w:rsid w:val="002558AC"/>
    <w:rsid w:val="00255976"/>
    <w:rsid w:val="0025735D"/>
    <w:rsid w:val="00257E95"/>
    <w:rsid w:val="0026502E"/>
    <w:rsid w:val="002656AC"/>
    <w:rsid w:val="00265BB8"/>
    <w:rsid w:val="00266D3A"/>
    <w:rsid w:val="002704E5"/>
    <w:rsid w:val="00270A80"/>
    <w:rsid w:val="00270D78"/>
    <w:rsid w:val="002715B7"/>
    <w:rsid w:val="00271E8A"/>
    <w:rsid w:val="0027303E"/>
    <w:rsid w:val="00273713"/>
    <w:rsid w:val="00276E3F"/>
    <w:rsid w:val="0027727F"/>
    <w:rsid w:val="00283760"/>
    <w:rsid w:val="00283C2B"/>
    <w:rsid w:val="00285A58"/>
    <w:rsid w:val="00285D2D"/>
    <w:rsid w:val="00285FF4"/>
    <w:rsid w:val="002864E8"/>
    <w:rsid w:val="00287D87"/>
    <w:rsid w:val="00290885"/>
    <w:rsid w:val="002918EB"/>
    <w:rsid w:val="002929F2"/>
    <w:rsid w:val="0029436B"/>
    <w:rsid w:val="0029488C"/>
    <w:rsid w:val="00297B80"/>
    <w:rsid w:val="00297EA5"/>
    <w:rsid w:val="002A0877"/>
    <w:rsid w:val="002A0AC1"/>
    <w:rsid w:val="002A0D48"/>
    <w:rsid w:val="002A154F"/>
    <w:rsid w:val="002A15DC"/>
    <w:rsid w:val="002A2E31"/>
    <w:rsid w:val="002A33CE"/>
    <w:rsid w:val="002A3F2D"/>
    <w:rsid w:val="002A4CE7"/>
    <w:rsid w:val="002A52F9"/>
    <w:rsid w:val="002A78BD"/>
    <w:rsid w:val="002B0452"/>
    <w:rsid w:val="002B1B92"/>
    <w:rsid w:val="002B2CD4"/>
    <w:rsid w:val="002B2E9C"/>
    <w:rsid w:val="002B3BD5"/>
    <w:rsid w:val="002B4C8F"/>
    <w:rsid w:val="002B4E1D"/>
    <w:rsid w:val="002B73AF"/>
    <w:rsid w:val="002B7588"/>
    <w:rsid w:val="002B77CC"/>
    <w:rsid w:val="002C05D8"/>
    <w:rsid w:val="002C0AC2"/>
    <w:rsid w:val="002C12C9"/>
    <w:rsid w:val="002C342F"/>
    <w:rsid w:val="002C3C71"/>
    <w:rsid w:val="002C4410"/>
    <w:rsid w:val="002C46AF"/>
    <w:rsid w:val="002C4DAB"/>
    <w:rsid w:val="002C5273"/>
    <w:rsid w:val="002C55BE"/>
    <w:rsid w:val="002C57F2"/>
    <w:rsid w:val="002C62CE"/>
    <w:rsid w:val="002D4CA9"/>
    <w:rsid w:val="002D52FF"/>
    <w:rsid w:val="002D5377"/>
    <w:rsid w:val="002D5C8B"/>
    <w:rsid w:val="002D613F"/>
    <w:rsid w:val="002D7A52"/>
    <w:rsid w:val="002D7E41"/>
    <w:rsid w:val="002E124C"/>
    <w:rsid w:val="002E2417"/>
    <w:rsid w:val="002E313D"/>
    <w:rsid w:val="002E5209"/>
    <w:rsid w:val="002E59B4"/>
    <w:rsid w:val="002E718D"/>
    <w:rsid w:val="002E7A14"/>
    <w:rsid w:val="002F0907"/>
    <w:rsid w:val="002F19E7"/>
    <w:rsid w:val="002F3B01"/>
    <w:rsid w:val="002F3B13"/>
    <w:rsid w:val="002F4838"/>
    <w:rsid w:val="002F5075"/>
    <w:rsid w:val="002F7B54"/>
    <w:rsid w:val="00300532"/>
    <w:rsid w:val="00300CCB"/>
    <w:rsid w:val="00300EDC"/>
    <w:rsid w:val="003011C9"/>
    <w:rsid w:val="00302FD9"/>
    <w:rsid w:val="00303222"/>
    <w:rsid w:val="003035A0"/>
    <w:rsid w:val="003037CB"/>
    <w:rsid w:val="00303BC9"/>
    <w:rsid w:val="00304414"/>
    <w:rsid w:val="00305617"/>
    <w:rsid w:val="00306CC1"/>
    <w:rsid w:val="00306D39"/>
    <w:rsid w:val="00307E1F"/>
    <w:rsid w:val="0031092D"/>
    <w:rsid w:val="00311024"/>
    <w:rsid w:val="003128ED"/>
    <w:rsid w:val="00313A19"/>
    <w:rsid w:val="003141DE"/>
    <w:rsid w:val="003145E3"/>
    <w:rsid w:val="003145EF"/>
    <w:rsid w:val="003168A4"/>
    <w:rsid w:val="00324622"/>
    <w:rsid w:val="00325062"/>
    <w:rsid w:val="00325DEC"/>
    <w:rsid w:val="00325E40"/>
    <w:rsid w:val="0032696C"/>
    <w:rsid w:val="003277B4"/>
    <w:rsid w:val="00327CBC"/>
    <w:rsid w:val="00330A15"/>
    <w:rsid w:val="003329F4"/>
    <w:rsid w:val="00332EC2"/>
    <w:rsid w:val="003340B9"/>
    <w:rsid w:val="0033411F"/>
    <w:rsid w:val="00334733"/>
    <w:rsid w:val="00334EC1"/>
    <w:rsid w:val="00336D4E"/>
    <w:rsid w:val="003372BD"/>
    <w:rsid w:val="00340CE8"/>
    <w:rsid w:val="00341A03"/>
    <w:rsid w:val="00341B0F"/>
    <w:rsid w:val="00342EA6"/>
    <w:rsid w:val="0034317F"/>
    <w:rsid w:val="003434CD"/>
    <w:rsid w:val="0034356B"/>
    <w:rsid w:val="00343A4F"/>
    <w:rsid w:val="00344309"/>
    <w:rsid w:val="00344A9F"/>
    <w:rsid w:val="0034699F"/>
    <w:rsid w:val="003471F1"/>
    <w:rsid w:val="0034721C"/>
    <w:rsid w:val="003479AB"/>
    <w:rsid w:val="00347C6C"/>
    <w:rsid w:val="00350836"/>
    <w:rsid w:val="00351149"/>
    <w:rsid w:val="00351BC4"/>
    <w:rsid w:val="00354AF4"/>
    <w:rsid w:val="00355D9E"/>
    <w:rsid w:val="00356039"/>
    <w:rsid w:val="00356846"/>
    <w:rsid w:val="00360C16"/>
    <w:rsid w:val="00361137"/>
    <w:rsid w:val="00361250"/>
    <w:rsid w:val="0036217B"/>
    <w:rsid w:val="00363319"/>
    <w:rsid w:val="00364B8F"/>
    <w:rsid w:val="00364CC6"/>
    <w:rsid w:val="003665A7"/>
    <w:rsid w:val="00366AAA"/>
    <w:rsid w:val="00366DCC"/>
    <w:rsid w:val="0036707A"/>
    <w:rsid w:val="00371214"/>
    <w:rsid w:val="00371402"/>
    <w:rsid w:val="00371FB6"/>
    <w:rsid w:val="00372B86"/>
    <w:rsid w:val="00372DA8"/>
    <w:rsid w:val="003738E4"/>
    <w:rsid w:val="00375DF8"/>
    <w:rsid w:val="003772F4"/>
    <w:rsid w:val="003773AC"/>
    <w:rsid w:val="0037786B"/>
    <w:rsid w:val="00377E10"/>
    <w:rsid w:val="0038063A"/>
    <w:rsid w:val="00381702"/>
    <w:rsid w:val="0038200B"/>
    <w:rsid w:val="00382627"/>
    <w:rsid w:val="00383FDC"/>
    <w:rsid w:val="00384CE6"/>
    <w:rsid w:val="00386410"/>
    <w:rsid w:val="00386F9C"/>
    <w:rsid w:val="00387BD7"/>
    <w:rsid w:val="00390FF7"/>
    <w:rsid w:val="003913E6"/>
    <w:rsid w:val="00391778"/>
    <w:rsid w:val="00391C96"/>
    <w:rsid w:val="00391E10"/>
    <w:rsid w:val="00391F07"/>
    <w:rsid w:val="003925E7"/>
    <w:rsid w:val="00392ED3"/>
    <w:rsid w:val="003943F6"/>
    <w:rsid w:val="00394CEA"/>
    <w:rsid w:val="00396EFF"/>
    <w:rsid w:val="0039714E"/>
    <w:rsid w:val="00397933"/>
    <w:rsid w:val="003A0767"/>
    <w:rsid w:val="003A1367"/>
    <w:rsid w:val="003A17D9"/>
    <w:rsid w:val="003A200F"/>
    <w:rsid w:val="003A36EA"/>
    <w:rsid w:val="003A5150"/>
    <w:rsid w:val="003A6512"/>
    <w:rsid w:val="003A77E0"/>
    <w:rsid w:val="003B00B7"/>
    <w:rsid w:val="003B0A80"/>
    <w:rsid w:val="003B0C45"/>
    <w:rsid w:val="003B2396"/>
    <w:rsid w:val="003B268D"/>
    <w:rsid w:val="003B2F1A"/>
    <w:rsid w:val="003B32A2"/>
    <w:rsid w:val="003B36DE"/>
    <w:rsid w:val="003B3B0D"/>
    <w:rsid w:val="003B4677"/>
    <w:rsid w:val="003B4FC3"/>
    <w:rsid w:val="003B63CA"/>
    <w:rsid w:val="003B6918"/>
    <w:rsid w:val="003C1A2C"/>
    <w:rsid w:val="003C3CFA"/>
    <w:rsid w:val="003C513E"/>
    <w:rsid w:val="003C575B"/>
    <w:rsid w:val="003C6595"/>
    <w:rsid w:val="003D0365"/>
    <w:rsid w:val="003D2588"/>
    <w:rsid w:val="003D2743"/>
    <w:rsid w:val="003D4FF0"/>
    <w:rsid w:val="003D5999"/>
    <w:rsid w:val="003D5E68"/>
    <w:rsid w:val="003D6651"/>
    <w:rsid w:val="003D73E0"/>
    <w:rsid w:val="003D7483"/>
    <w:rsid w:val="003D7B62"/>
    <w:rsid w:val="003E0025"/>
    <w:rsid w:val="003E055A"/>
    <w:rsid w:val="003E1152"/>
    <w:rsid w:val="003E12CE"/>
    <w:rsid w:val="003E215F"/>
    <w:rsid w:val="003E61BD"/>
    <w:rsid w:val="003E6228"/>
    <w:rsid w:val="003E71C8"/>
    <w:rsid w:val="003E7BFF"/>
    <w:rsid w:val="003F0191"/>
    <w:rsid w:val="003F0C24"/>
    <w:rsid w:val="003F49B6"/>
    <w:rsid w:val="003F581B"/>
    <w:rsid w:val="003F5DBB"/>
    <w:rsid w:val="003F5DFD"/>
    <w:rsid w:val="003F60BC"/>
    <w:rsid w:val="003F6623"/>
    <w:rsid w:val="003F6B00"/>
    <w:rsid w:val="003F6BFA"/>
    <w:rsid w:val="003F7883"/>
    <w:rsid w:val="00400409"/>
    <w:rsid w:val="004005A6"/>
    <w:rsid w:val="00400A4F"/>
    <w:rsid w:val="00400C8B"/>
    <w:rsid w:val="00401B84"/>
    <w:rsid w:val="00402323"/>
    <w:rsid w:val="00402A9B"/>
    <w:rsid w:val="004037D9"/>
    <w:rsid w:val="00403D25"/>
    <w:rsid w:val="00404AAB"/>
    <w:rsid w:val="00405637"/>
    <w:rsid w:val="00405CC1"/>
    <w:rsid w:val="00406763"/>
    <w:rsid w:val="00406AC2"/>
    <w:rsid w:val="004117A6"/>
    <w:rsid w:val="004140DB"/>
    <w:rsid w:val="004141DC"/>
    <w:rsid w:val="00414AF6"/>
    <w:rsid w:val="00414DA8"/>
    <w:rsid w:val="0041654C"/>
    <w:rsid w:val="00420909"/>
    <w:rsid w:val="004211BF"/>
    <w:rsid w:val="004211DA"/>
    <w:rsid w:val="0042349E"/>
    <w:rsid w:val="00423CE3"/>
    <w:rsid w:val="00424261"/>
    <w:rsid w:val="00424645"/>
    <w:rsid w:val="00432A90"/>
    <w:rsid w:val="00432CEC"/>
    <w:rsid w:val="00433CB0"/>
    <w:rsid w:val="00433E9A"/>
    <w:rsid w:val="00434590"/>
    <w:rsid w:val="004355ED"/>
    <w:rsid w:val="0044115D"/>
    <w:rsid w:val="0044245E"/>
    <w:rsid w:val="00442ECF"/>
    <w:rsid w:val="0044355C"/>
    <w:rsid w:val="004439EF"/>
    <w:rsid w:val="0045007C"/>
    <w:rsid w:val="00450471"/>
    <w:rsid w:val="004508E3"/>
    <w:rsid w:val="0045143C"/>
    <w:rsid w:val="00451748"/>
    <w:rsid w:val="004520B9"/>
    <w:rsid w:val="00455671"/>
    <w:rsid w:val="004610A8"/>
    <w:rsid w:val="004628ED"/>
    <w:rsid w:val="004637BD"/>
    <w:rsid w:val="004638AE"/>
    <w:rsid w:val="00467B78"/>
    <w:rsid w:val="00470807"/>
    <w:rsid w:val="00470AEB"/>
    <w:rsid w:val="00470B08"/>
    <w:rsid w:val="00470B50"/>
    <w:rsid w:val="00471026"/>
    <w:rsid w:val="00473367"/>
    <w:rsid w:val="00473B26"/>
    <w:rsid w:val="004761CF"/>
    <w:rsid w:val="00476574"/>
    <w:rsid w:val="00476C88"/>
    <w:rsid w:val="0047711B"/>
    <w:rsid w:val="004772CC"/>
    <w:rsid w:val="004775A5"/>
    <w:rsid w:val="00480800"/>
    <w:rsid w:val="0048780F"/>
    <w:rsid w:val="00487AE2"/>
    <w:rsid w:val="0049016D"/>
    <w:rsid w:val="0049255D"/>
    <w:rsid w:val="004936FD"/>
    <w:rsid w:val="0049469F"/>
    <w:rsid w:val="00494B39"/>
    <w:rsid w:val="00495CFD"/>
    <w:rsid w:val="00496394"/>
    <w:rsid w:val="00496D8F"/>
    <w:rsid w:val="00497BFA"/>
    <w:rsid w:val="004A0E11"/>
    <w:rsid w:val="004A0F5F"/>
    <w:rsid w:val="004A4931"/>
    <w:rsid w:val="004A4A86"/>
    <w:rsid w:val="004A500A"/>
    <w:rsid w:val="004A7778"/>
    <w:rsid w:val="004A7D5C"/>
    <w:rsid w:val="004B06E5"/>
    <w:rsid w:val="004B4022"/>
    <w:rsid w:val="004B43B7"/>
    <w:rsid w:val="004B502A"/>
    <w:rsid w:val="004B6773"/>
    <w:rsid w:val="004B678C"/>
    <w:rsid w:val="004B6B40"/>
    <w:rsid w:val="004C0C52"/>
    <w:rsid w:val="004C0E58"/>
    <w:rsid w:val="004C1305"/>
    <w:rsid w:val="004C17F2"/>
    <w:rsid w:val="004C19B0"/>
    <w:rsid w:val="004C44EA"/>
    <w:rsid w:val="004C4598"/>
    <w:rsid w:val="004C4F9C"/>
    <w:rsid w:val="004C5B8E"/>
    <w:rsid w:val="004C5C5D"/>
    <w:rsid w:val="004C6019"/>
    <w:rsid w:val="004C6EDE"/>
    <w:rsid w:val="004C740D"/>
    <w:rsid w:val="004D1417"/>
    <w:rsid w:val="004D20D8"/>
    <w:rsid w:val="004D3FF1"/>
    <w:rsid w:val="004D50F5"/>
    <w:rsid w:val="004D5D9E"/>
    <w:rsid w:val="004D5F89"/>
    <w:rsid w:val="004D651E"/>
    <w:rsid w:val="004E11C3"/>
    <w:rsid w:val="004E15D1"/>
    <w:rsid w:val="004E1F9D"/>
    <w:rsid w:val="004E4881"/>
    <w:rsid w:val="004E543E"/>
    <w:rsid w:val="004E5EF9"/>
    <w:rsid w:val="004F141C"/>
    <w:rsid w:val="004F17A8"/>
    <w:rsid w:val="004F2582"/>
    <w:rsid w:val="004F5F18"/>
    <w:rsid w:val="004F745F"/>
    <w:rsid w:val="005005B7"/>
    <w:rsid w:val="00503512"/>
    <w:rsid w:val="005056CB"/>
    <w:rsid w:val="00506BDD"/>
    <w:rsid w:val="0050776B"/>
    <w:rsid w:val="00507AF4"/>
    <w:rsid w:val="00510B27"/>
    <w:rsid w:val="0051298D"/>
    <w:rsid w:val="00512F75"/>
    <w:rsid w:val="00514370"/>
    <w:rsid w:val="005163B8"/>
    <w:rsid w:val="00516980"/>
    <w:rsid w:val="00520049"/>
    <w:rsid w:val="00520554"/>
    <w:rsid w:val="00521893"/>
    <w:rsid w:val="00521EA9"/>
    <w:rsid w:val="00521ED2"/>
    <w:rsid w:val="00523C68"/>
    <w:rsid w:val="00524E7B"/>
    <w:rsid w:val="0052565F"/>
    <w:rsid w:val="00525901"/>
    <w:rsid w:val="005268D7"/>
    <w:rsid w:val="00526DB2"/>
    <w:rsid w:val="005275E3"/>
    <w:rsid w:val="0053117D"/>
    <w:rsid w:val="00531527"/>
    <w:rsid w:val="00531BAE"/>
    <w:rsid w:val="00531DBC"/>
    <w:rsid w:val="00532B5B"/>
    <w:rsid w:val="005331D8"/>
    <w:rsid w:val="00533ACC"/>
    <w:rsid w:val="00534C14"/>
    <w:rsid w:val="00537297"/>
    <w:rsid w:val="00540916"/>
    <w:rsid w:val="0054110D"/>
    <w:rsid w:val="00541A37"/>
    <w:rsid w:val="005422A8"/>
    <w:rsid w:val="00542A0A"/>
    <w:rsid w:val="0054446D"/>
    <w:rsid w:val="005445FF"/>
    <w:rsid w:val="005446FA"/>
    <w:rsid w:val="00547212"/>
    <w:rsid w:val="00547ACA"/>
    <w:rsid w:val="005500A5"/>
    <w:rsid w:val="00552502"/>
    <w:rsid w:val="00552CD1"/>
    <w:rsid w:val="00553B69"/>
    <w:rsid w:val="00553CFA"/>
    <w:rsid w:val="0055486E"/>
    <w:rsid w:val="0055602C"/>
    <w:rsid w:val="0055656A"/>
    <w:rsid w:val="0055799A"/>
    <w:rsid w:val="00560595"/>
    <w:rsid w:val="00560EDC"/>
    <w:rsid w:val="00561140"/>
    <w:rsid w:val="0056306A"/>
    <w:rsid w:val="00563189"/>
    <w:rsid w:val="00563435"/>
    <w:rsid w:val="00564D8E"/>
    <w:rsid w:val="00564EB1"/>
    <w:rsid w:val="0056718B"/>
    <w:rsid w:val="00570C5A"/>
    <w:rsid w:val="00571402"/>
    <w:rsid w:val="005729EE"/>
    <w:rsid w:val="00572AC7"/>
    <w:rsid w:val="00573451"/>
    <w:rsid w:val="00574AFE"/>
    <w:rsid w:val="00574D08"/>
    <w:rsid w:val="00575F72"/>
    <w:rsid w:val="00576C37"/>
    <w:rsid w:val="00582839"/>
    <w:rsid w:val="005829B9"/>
    <w:rsid w:val="00583444"/>
    <w:rsid w:val="00583452"/>
    <w:rsid w:val="0058352B"/>
    <w:rsid w:val="005838E7"/>
    <w:rsid w:val="00583929"/>
    <w:rsid w:val="00584483"/>
    <w:rsid w:val="00584888"/>
    <w:rsid w:val="00584B97"/>
    <w:rsid w:val="005859F5"/>
    <w:rsid w:val="00586243"/>
    <w:rsid w:val="00587835"/>
    <w:rsid w:val="00590AF7"/>
    <w:rsid w:val="0059271A"/>
    <w:rsid w:val="005930C4"/>
    <w:rsid w:val="00593517"/>
    <w:rsid w:val="00593ACF"/>
    <w:rsid w:val="005947CA"/>
    <w:rsid w:val="00594F4A"/>
    <w:rsid w:val="00595988"/>
    <w:rsid w:val="00595A1B"/>
    <w:rsid w:val="00595D49"/>
    <w:rsid w:val="00596597"/>
    <w:rsid w:val="00596FEE"/>
    <w:rsid w:val="005A2668"/>
    <w:rsid w:val="005A5422"/>
    <w:rsid w:val="005A5697"/>
    <w:rsid w:val="005A5D34"/>
    <w:rsid w:val="005A5FB0"/>
    <w:rsid w:val="005A7D99"/>
    <w:rsid w:val="005B044C"/>
    <w:rsid w:val="005B139D"/>
    <w:rsid w:val="005B2C1F"/>
    <w:rsid w:val="005B33FC"/>
    <w:rsid w:val="005B45F0"/>
    <w:rsid w:val="005B5331"/>
    <w:rsid w:val="005B582A"/>
    <w:rsid w:val="005B6F7E"/>
    <w:rsid w:val="005C014E"/>
    <w:rsid w:val="005C31D8"/>
    <w:rsid w:val="005C38B1"/>
    <w:rsid w:val="005C3CC9"/>
    <w:rsid w:val="005C72B9"/>
    <w:rsid w:val="005D0E2F"/>
    <w:rsid w:val="005D1FDC"/>
    <w:rsid w:val="005D2C09"/>
    <w:rsid w:val="005D344E"/>
    <w:rsid w:val="005E0B45"/>
    <w:rsid w:val="005E17F1"/>
    <w:rsid w:val="005E18C4"/>
    <w:rsid w:val="005E19BE"/>
    <w:rsid w:val="005E2C36"/>
    <w:rsid w:val="005E3420"/>
    <w:rsid w:val="005E3B58"/>
    <w:rsid w:val="005E444C"/>
    <w:rsid w:val="005E46F1"/>
    <w:rsid w:val="005E488B"/>
    <w:rsid w:val="005E57FF"/>
    <w:rsid w:val="005E6B4D"/>
    <w:rsid w:val="005F216C"/>
    <w:rsid w:val="005F4165"/>
    <w:rsid w:val="005F4CEB"/>
    <w:rsid w:val="005F52A7"/>
    <w:rsid w:val="005F5936"/>
    <w:rsid w:val="005F6339"/>
    <w:rsid w:val="005F6784"/>
    <w:rsid w:val="006008E9"/>
    <w:rsid w:val="00600D18"/>
    <w:rsid w:val="00601867"/>
    <w:rsid w:val="00601AC3"/>
    <w:rsid w:val="00601FE9"/>
    <w:rsid w:val="00602182"/>
    <w:rsid w:val="0060354F"/>
    <w:rsid w:val="006046C2"/>
    <w:rsid w:val="00605B64"/>
    <w:rsid w:val="00607BB8"/>
    <w:rsid w:val="0061081C"/>
    <w:rsid w:val="0061111B"/>
    <w:rsid w:val="0061355F"/>
    <w:rsid w:val="0061356C"/>
    <w:rsid w:val="006147D8"/>
    <w:rsid w:val="00614A22"/>
    <w:rsid w:val="00615228"/>
    <w:rsid w:val="006159A6"/>
    <w:rsid w:val="00615D73"/>
    <w:rsid w:val="006160B2"/>
    <w:rsid w:val="006170BB"/>
    <w:rsid w:val="00617A95"/>
    <w:rsid w:val="006207F9"/>
    <w:rsid w:val="00620CE8"/>
    <w:rsid w:val="00621187"/>
    <w:rsid w:val="00621A19"/>
    <w:rsid w:val="00622E3D"/>
    <w:rsid w:val="00623453"/>
    <w:rsid w:val="00625947"/>
    <w:rsid w:val="00626159"/>
    <w:rsid w:val="00626827"/>
    <w:rsid w:val="006269C4"/>
    <w:rsid w:val="00627EA3"/>
    <w:rsid w:val="00630D70"/>
    <w:rsid w:val="00631831"/>
    <w:rsid w:val="00632119"/>
    <w:rsid w:val="00632725"/>
    <w:rsid w:val="00633014"/>
    <w:rsid w:val="0063564E"/>
    <w:rsid w:val="006356D0"/>
    <w:rsid w:val="0063683B"/>
    <w:rsid w:val="0063751C"/>
    <w:rsid w:val="006405CB"/>
    <w:rsid w:val="00640F5A"/>
    <w:rsid w:val="006417BF"/>
    <w:rsid w:val="00641D6F"/>
    <w:rsid w:val="00643AD3"/>
    <w:rsid w:val="00645C6E"/>
    <w:rsid w:val="0064678F"/>
    <w:rsid w:val="00647010"/>
    <w:rsid w:val="00647A32"/>
    <w:rsid w:val="00647FCA"/>
    <w:rsid w:val="00650F98"/>
    <w:rsid w:val="0065114A"/>
    <w:rsid w:val="00652048"/>
    <w:rsid w:val="00653703"/>
    <w:rsid w:val="006546B7"/>
    <w:rsid w:val="00654AE6"/>
    <w:rsid w:val="0065519F"/>
    <w:rsid w:val="00657398"/>
    <w:rsid w:val="0066140C"/>
    <w:rsid w:val="006624CE"/>
    <w:rsid w:val="00662638"/>
    <w:rsid w:val="0066290C"/>
    <w:rsid w:val="0066411B"/>
    <w:rsid w:val="006648A3"/>
    <w:rsid w:val="0066500B"/>
    <w:rsid w:val="0066522F"/>
    <w:rsid w:val="0066534B"/>
    <w:rsid w:val="0067001E"/>
    <w:rsid w:val="00671BDB"/>
    <w:rsid w:val="006722FE"/>
    <w:rsid w:val="00672F1A"/>
    <w:rsid w:val="00674FD8"/>
    <w:rsid w:val="0067591F"/>
    <w:rsid w:val="0067687B"/>
    <w:rsid w:val="0067689D"/>
    <w:rsid w:val="006777A1"/>
    <w:rsid w:val="00677B0E"/>
    <w:rsid w:val="006803EC"/>
    <w:rsid w:val="006815ED"/>
    <w:rsid w:val="006824FE"/>
    <w:rsid w:val="0068337B"/>
    <w:rsid w:val="0068389C"/>
    <w:rsid w:val="00687CDB"/>
    <w:rsid w:val="00690071"/>
    <w:rsid w:val="0069088C"/>
    <w:rsid w:val="00691543"/>
    <w:rsid w:val="006920FD"/>
    <w:rsid w:val="006934F7"/>
    <w:rsid w:val="00695BB8"/>
    <w:rsid w:val="00697B54"/>
    <w:rsid w:val="006A09F7"/>
    <w:rsid w:val="006A12C9"/>
    <w:rsid w:val="006A1819"/>
    <w:rsid w:val="006A3716"/>
    <w:rsid w:val="006A46EE"/>
    <w:rsid w:val="006A5261"/>
    <w:rsid w:val="006A5BD6"/>
    <w:rsid w:val="006A7926"/>
    <w:rsid w:val="006B1D7A"/>
    <w:rsid w:val="006B223F"/>
    <w:rsid w:val="006B572B"/>
    <w:rsid w:val="006B665F"/>
    <w:rsid w:val="006C016D"/>
    <w:rsid w:val="006C0E31"/>
    <w:rsid w:val="006C2021"/>
    <w:rsid w:val="006C24F8"/>
    <w:rsid w:val="006C2F09"/>
    <w:rsid w:val="006C317A"/>
    <w:rsid w:val="006C3BF6"/>
    <w:rsid w:val="006C3D09"/>
    <w:rsid w:val="006C4EC7"/>
    <w:rsid w:val="006C6234"/>
    <w:rsid w:val="006C64A0"/>
    <w:rsid w:val="006D04C2"/>
    <w:rsid w:val="006D07FB"/>
    <w:rsid w:val="006D121D"/>
    <w:rsid w:val="006D13BA"/>
    <w:rsid w:val="006D154F"/>
    <w:rsid w:val="006D1D3B"/>
    <w:rsid w:val="006D2188"/>
    <w:rsid w:val="006D3C5C"/>
    <w:rsid w:val="006D5C41"/>
    <w:rsid w:val="006D725C"/>
    <w:rsid w:val="006E0873"/>
    <w:rsid w:val="006E106F"/>
    <w:rsid w:val="006E1A2D"/>
    <w:rsid w:val="006E1B64"/>
    <w:rsid w:val="006E321B"/>
    <w:rsid w:val="006E3AB5"/>
    <w:rsid w:val="006E4150"/>
    <w:rsid w:val="006E4AB1"/>
    <w:rsid w:val="006E5B4B"/>
    <w:rsid w:val="006E612A"/>
    <w:rsid w:val="006E7027"/>
    <w:rsid w:val="006F059F"/>
    <w:rsid w:val="006F0BCE"/>
    <w:rsid w:val="006F0E31"/>
    <w:rsid w:val="006F1007"/>
    <w:rsid w:val="006F324E"/>
    <w:rsid w:val="006F3A2D"/>
    <w:rsid w:val="006F4F37"/>
    <w:rsid w:val="006F7022"/>
    <w:rsid w:val="006F7C59"/>
    <w:rsid w:val="007020D5"/>
    <w:rsid w:val="007028AB"/>
    <w:rsid w:val="00704551"/>
    <w:rsid w:val="007045A4"/>
    <w:rsid w:val="00705CCD"/>
    <w:rsid w:val="0070685F"/>
    <w:rsid w:val="00706EA7"/>
    <w:rsid w:val="0070719E"/>
    <w:rsid w:val="00707462"/>
    <w:rsid w:val="00710FF3"/>
    <w:rsid w:val="00711BA6"/>
    <w:rsid w:val="007120F3"/>
    <w:rsid w:val="00713C94"/>
    <w:rsid w:val="007155AB"/>
    <w:rsid w:val="00715C75"/>
    <w:rsid w:val="0071669A"/>
    <w:rsid w:val="00716F19"/>
    <w:rsid w:val="0072091D"/>
    <w:rsid w:val="00721F55"/>
    <w:rsid w:val="00723916"/>
    <w:rsid w:val="007241C0"/>
    <w:rsid w:val="00724791"/>
    <w:rsid w:val="007261E5"/>
    <w:rsid w:val="00727F16"/>
    <w:rsid w:val="007305E1"/>
    <w:rsid w:val="00731B21"/>
    <w:rsid w:val="00731F9A"/>
    <w:rsid w:val="00732090"/>
    <w:rsid w:val="00732710"/>
    <w:rsid w:val="00732B4D"/>
    <w:rsid w:val="00734230"/>
    <w:rsid w:val="00734684"/>
    <w:rsid w:val="00736337"/>
    <w:rsid w:val="0073639F"/>
    <w:rsid w:val="00737065"/>
    <w:rsid w:val="00740099"/>
    <w:rsid w:val="007405D8"/>
    <w:rsid w:val="0074174E"/>
    <w:rsid w:val="00742A57"/>
    <w:rsid w:val="00742F7C"/>
    <w:rsid w:val="00744842"/>
    <w:rsid w:val="007462E8"/>
    <w:rsid w:val="0075170F"/>
    <w:rsid w:val="007525DA"/>
    <w:rsid w:val="00752919"/>
    <w:rsid w:val="00753390"/>
    <w:rsid w:val="0075383C"/>
    <w:rsid w:val="00754547"/>
    <w:rsid w:val="00754813"/>
    <w:rsid w:val="007558B2"/>
    <w:rsid w:val="0075678F"/>
    <w:rsid w:val="0075753D"/>
    <w:rsid w:val="0076034D"/>
    <w:rsid w:val="00761740"/>
    <w:rsid w:val="00761AC2"/>
    <w:rsid w:val="00762806"/>
    <w:rsid w:val="0076616D"/>
    <w:rsid w:val="00772233"/>
    <w:rsid w:val="00773058"/>
    <w:rsid w:val="00773B59"/>
    <w:rsid w:val="00774641"/>
    <w:rsid w:val="00774CA6"/>
    <w:rsid w:val="00775A01"/>
    <w:rsid w:val="007806DA"/>
    <w:rsid w:val="007812A3"/>
    <w:rsid w:val="00781BC9"/>
    <w:rsid w:val="007827AB"/>
    <w:rsid w:val="00783852"/>
    <w:rsid w:val="00783C46"/>
    <w:rsid w:val="00784544"/>
    <w:rsid w:val="0078529E"/>
    <w:rsid w:val="00785E2E"/>
    <w:rsid w:val="00787A55"/>
    <w:rsid w:val="0079023F"/>
    <w:rsid w:val="00790CB4"/>
    <w:rsid w:val="0079193F"/>
    <w:rsid w:val="007934D1"/>
    <w:rsid w:val="00793565"/>
    <w:rsid w:val="00793881"/>
    <w:rsid w:val="00795964"/>
    <w:rsid w:val="007A26D7"/>
    <w:rsid w:val="007A40D6"/>
    <w:rsid w:val="007A4317"/>
    <w:rsid w:val="007A458B"/>
    <w:rsid w:val="007A482D"/>
    <w:rsid w:val="007A68D1"/>
    <w:rsid w:val="007A6E63"/>
    <w:rsid w:val="007A73D5"/>
    <w:rsid w:val="007B2338"/>
    <w:rsid w:val="007B287E"/>
    <w:rsid w:val="007B3992"/>
    <w:rsid w:val="007B41BE"/>
    <w:rsid w:val="007B5990"/>
    <w:rsid w:val="007B5FFB"/>
    <w:rsid w:val="007C0506"/>
    <w:rsid w:val="007C2B31"/>
    <w:rsid w:val="007C2DC1"/>
    <w:rsid w:val="007C46E5"/>
    <w:rsid w:val="007C4D04"/>
    <w:rsid w:val="007C4DD6"/>
    <w:rsid w:val="007C5186"/>
    <w:rsid w:val="007D234D"/>
    <w:rsid w:val="007D3D43"/>
    <w:rsid w:val="007D5D7F"/>
    <w:rsid w:val="007D5EF4"/>
    <w:rsid w:val="007D6AB7"/>
    <w:rsid w:val="007D727C"/>
    <w:rsid w:val="007D7558"/>
    <w:rsid w:val="007E0F4E"/>
    <w:rsid w:val="007E1DCC"/>
    <w:rsid w:val="007E32A8"/>
    <w:rsid w:val="007E3334"/>
    <w:rsid w:val="007E5041"/>
    <w:rsid w:val="007E526A"/>
    <w:rsid w:val="007E701B"/>
    <w:rsid w:val="007E79C5"/>
    <w:rsid w:val="007F0A3C"/>
    <w:rsid w:val="007F14D8"/>
    <w:rsid w:val="007F36CB"/>
    <w:rsid w:val="007F5F00"/>
    <w:rsid w:val="007F5F35"/>
    <w:rsid w:val="00800C94"/>
    <w:rsid w:val="008012C9"/>
    <w:rsid w:val="008015B1"/>
    <w:rsid w:val="00801FB1"/>
    <w:rsid w:val="00802DC8"/>
    <w:rsid w:val="0080455D"/>
    <w:rsid w:val="008048C6"/>
    <w:rsid w:val="00806B13"/>
    <w:rsid w:val="0081065C"/>
    <w:rsid w:val="008114F0"/>
    <w:rsid w:val="008116DF"/>
    <w:rsid w:val="00811CC6"/>
    <w:rsid w:val="0081290C"/>
    <w:rsid w:val="00812E11"/>
    <w:rsid w:val="00813919"/>
    <w:rsid w:val="00813D15"/>
    <w:rsid w:val="008146EB"/>
    <w:rsid w:val="00815D2F"/>
    <w:rsid w:val="008162D8"/>
    <w:rsid w:val="00816E6F"/>
    <w:rsid w:val="00820735"/>
    <w:rsid w:val="008207CA"/>
    <w:rsid w:val="008217C1"/>
    <w:rsid w:val="00822737"/>
    <w:rsid w:val="008229B3"/>
    <w:rsid w:val="008231E3"/>
    <w:rsid w:val="00823251"/>
    <w:rsid w:val="00824689"/>
    <w:rsid w:val="00825D11"/>
    <w:rsid w:val="00826500"/>
    <w:rsid w:val="00826DA6"/>
    <w:rsid w:val="00826EAC"/>
    <w:rsid w:val="00827B61"/>
    <w:rsid w:val="00830840"/>
    <w:rsid w:val="00830981"/>
    <w:rsid w:val="00830CF6"/>
    <w:rsid w:val="0083226E"/>
    <w:rsid w:val="008334DF"/>
    <w:rsid w:val="0083396B"/>
    <w:rsid w:val="00833AED"/>
    <w:rsid w:val="00834C6D"/>
    <w:rsid w:val="00834FC3"/>
    <w:rsid w:val="008376C5"/>
    <w:rsid w:val="00837F5D"/>
    <w:rsid w:val="0084004C"/>
    <w:rsid w:val="00841161"/>
    <w:rsid w:val="00841A7A"/>
    <w:rsid w:val="00842558"/>
    <w:rsid w:val="00842BD0"/>
    <w:rsid w:val="00842BFB"/>
    <w:rsid w:val="00842DD9"/>
    <w:rsid w:val="008430DD"/>
    <w:rsid w:val="008433FC"/>
    <w:rsid w:val="00844ED9"/>
    <w:rsid w:val="00846616"/>
    <w:rsid w:val="00846676"/>
    <w:rsid w:val="00846F1D"/>
    <w:rsid w:val="00847598"/>
    <w:rsid w:val="0084790F"/>
    <w:rsid w:val="0085023D"/>
    <w:rsid w:val="00850B63"/>
    <w:rsid w:val="00851C1F"/>
    <w:rsid w:val="00854523"/>
    <w:rsid w:val="00854FFD"/>
    <w:rsid w:val="00856FD8"/>
    <w:rsid w:val="00857032"/>
    <w:rsid w:val="00860396"/>
    <w:rsid w:val="0086144A"/>
    <w:rsid w:val="00861773"/>
    <w:rsid w:val="00862253"/>
    <w:rsid w:val="00863DC8"/>
    <w:rsid w:val="008645F8"/>
    <w:rsid w:val="00864830"/>
    <w:rsid w:val="00865BB9"/>
    <w:rsid w:val="00866EBF"/>
    <w:rsid w:val="008677DF"/>
    <w:rsid w:val="00867876"/>
    <w:rsid w:val="00867AB5"/>
    <w:rsid w:val="00870B30"/>
    <w:rsid w:val="00871E63"/>
    <w:rsid w:val="0087220E"/>
    <w:rsid w:val="00872AB1"/>
    <w:rsid w:val="00873CA5"/>
    <w:rsid w:val="0087449C"/>
    <w:rsid w:val="0087579B"/>
    <w:rsid w:val="008774C8"/>
    <w:rsid w:val="008775DF"/>
    <w:rsid w:val="00877B67"/>
    <w:rsid w:val="008800F7"/>
    <w:rsid w:val="00881B67"/>
    <w:rsid w:val="00881B7B"/>
    <w:rsid w:val="00881C1F"/>
    <w:rsid w:val="00882B17"/>
    <w:rsid w:val="00882FFE"/>
    <w:rsid w:val="00883B6C"/>
    <w:rsid w:val="00884F85"/>
    <w:rsid w:val="00885229"/>
    <w:rsid w:val="00885B8A"/>
    <w:rsid w:val="00885E9F"/>
    <w:rsid w:val="008901AB"/>
    <w:rsid w:val="008901C0"/>
    <w:rsid w:val="008909CE"/>
    <w:rsid w:val="00891150"/>
    <w:rsid w:val="00892781"/>
    <w:rsid w:val="00892C37"/>
    <w:rsid w:val="00892ED8"/>
    <w:rsid w:val="00893010"/>
    <w:rsid w:val="00894CC9"/>
    <w:rsid w:val="00894E85"/>
    <w:rsid w:val="0089543E"/>
    <w:rsid w:val="0089698F"/>
    <w:rsid w:val="00896FFD"/>
    <w:rsid w:val="008A0397"/>
    <w:rsid w:val="008A308F"/>
    <w:rsid w:val="008A3ECC"/>
    <w:rsid w:val="008A3FB8"/>
    <w:rsid w:val="008A4278"/>
    <w:rsid w:val="008A66F9"/>
    <w:rsid w:val="008B05B4"/>
    <w:rsid w:val="008B0F9C"/>
    <w:rsid w:val="008B13BE"/>
    <w:rsid w:val="008B35DC"/>
    <w:rsid w:val="008B3DF9"/>
    <w:rsid w:val="008B64E2"/>
    <w:rsid w:val="008C0B32"/>
    <w:rsid w:val="008C230C"/>
    <w:rsid w:val="008C3502"/>
    <w:rsid w:val="008C3A04"/>
    <w:rsid w:val="008C4F68"/>
    <w:rsid w:val="008C556C"/>
    <w:rsid w:val="008C618F"/>
    <w:rsid w:val="008C7954"/>
    <w:rsid w:val="008D248A"/>
    <w:rsid w:val="008D2A3B"/>
    <w:rsid w:val="008D43A1"/>
    <w:rsid w:val="008D5111"/>
    <w:rsid w:val="008D5243"/>
    <w:rsid w:val="008D6910"/>
    <w:rsid w:val="008D69EB"/>
    <w:rsid w:val="008D75E0"/>
    <w:rsid w:val="008E1B2E"/>
    <w:rsid w:val="008E4A28"/>
    <w:rsid w:val="008E4E01"/>
    <w:rsid w:val="008E4FD2"/>
    <w:rsid w:val="008E6C3A"/>
    <w:rsid w:val="008E7D54"/>
    <w:rsid w:val="008F0110"/>
    <w:rsid w:val="008F0C15"/>
    <w:rsid w:val="008F0E8E"/>
    <w:rsid w:val="008F1406"/>
    <w:rsid w:val="008F17E4"/>
    <w:rsid w:val="008F3D21"/>
    <w:rsid w:val="008F4FE0"/>
    <w:rsid w:val="008F6821"/>
    <w:rsid w:val="008F6988"/>
    <w:rsid w:val="008F7C97"/>
    <w:rsid w:val="008F7E19"/>
    <w:rsid w:val="008F7FDE"/>
    <w:rsid w:val="00900267"/>
    <w:rsid w:val="00900303"/>
    <w:rsid w:val="009017B8"/>
    <w:rsid w:val="00903E62"/>
    <w:rsid w:val="009040AF"/>
    <w:rsid w:val="00904A31"/>
    <w:rsid w:val="00910311"/>
    <w:rsid w:val="00910E0C"/>
    <w:rsid w:val="009112CB"/>
    <w:rsid w:val="009113B0"/>
    <w:rsid w:val="00911846"/>
    <w:rsid w:val="009121F5"/>
    <w:rsid w:val="009132D0"/>
    <w:rsid w:val="00913A34"/>
    <w:rsid w:val="0091433A"/>
    <w:rsid w:val="009150A0"/>
    <w:rsid w:val="00915D82"/>
    <w:rsid w:val="009166B2"/>
    <w:rsid w:val="00916AA6"/>
    <w:rsid w:val="00917601"/>
    <w:rsid w:val="0091783F"/>
    <w:rsid w:val="00917DF5"/>
    <w:rsid w:val="009223E3"/>
    <w:rsid w:val="00922C60"/>
    <w:rsid w:val="009231F8"/>
    <w:rsid w:val="00925164"/>
    <w:rsid w:val="00932147"/>
    <w:rsid w:val="00932834"/>
    <w:rsid w:val="00934D14"/>
    <w:rsid w:val="00934DDA"/>
    <w:rsid w:val="00937D82"/>
    <w:rsid w:val="00937DF3"/>
    <w:rsid w:val="00941732"/>
    <w:rsid w:val="00942B6A"/>
    <w:rsid w:val="00944FE9"/>
    <w:rsid w:val="009458D4"/>
    <w:rsid w:val="0094670C"/>
    <w:rsid w:val="0094720B"/>
    <w:rsid w:val="00951892"/>
    <w:rsid w:val="00952C9D"/>
    <w:rsid w:val="00954418"/>
    <w:rsid w:val="009551F1"/>
    <w:rsid w:val="009555EF"/>
    <w:rsid w:val="00956397"/>
    <w:rsid w:val="00960EEB"/>
    <w:rsid w:val="00961324"/>
    <w:rsid w:val="00961F9E"/>
    <w:rsid w:val="00962F46"/>
    <w:rsid w:val="0096343B"/>
    <w:rsid w:val="00963CE4"/>
    <w:rsid w:val="00966722"/>
    <w:rsid w:val="00966D77"/>
    <w:rsid w:val="00967DA0"/>
    <w:rsid w:val="0097021D"/>
    <w:rsid w:val="009702BC"/>
    <w:rsid w:val="009702DF"/>
    <w:rsid w:val="00970633"/>
    <w:rsid w:val="009707F3"/>
    <w:rsid w:val="00970832"/>
    <w:rsid w:val="0097110C"/>
    <w:rsid w:val="009728C9"/>
    <w:rsid w:val="00973D7D"/>
    <w:rsid w:val="00974365"/>
    <w:rsid w:val="00976458"/>
    <w:rsid w:val="009767EA"/>
    <w:rsid w:val="00977977"/>
    <w:rsid w:val="00980A98"/>
    <w:rsid w:val="00980FC9"/>
    <w:rsid w:val="00981A09"/>
    <w:rsid w:val="009826DE"/>
    <w:rsid w:val="00983272"/>
    <w:rsid w:val="009833E3"/>
    <w:rsid w:val="00983E72"/>
    <w:rsid w:val="009844B3"/>
    <w:rsid w:val="0098451C"/>
    <w:rsid w:val="00985E38"/>
    <w:rsid w:val="009860DC"/>
    <w:rsid w:val="00986185"/>
    <w:rsid w:val="009905B2"/>
    <w:rsid w:val="009907FA"/>
    <w:rsid w:val="00990919"/>
    <w:rsid w:val="0099113D"/>
    <w:rsid w:val="009912E8"/>
    <w:rsid w:val="00991F10"/>
    <w:rsid w:val="00993121"/>
    <w:rsid w:val="009934C3"/>
    <w:rsid w:val="00993EAF"/>
    <w:rsid w:val="00994DEA"/>
    <w:rsid w:val="0099575D"/>
    <w:rsid w:val="009973E7"/>
    <w:rsid w:val="009A0537"/>
    <w:rsid w:val="009A077A"/>
    <w:rsid w:val="009A0F18"/>
    <w:rsid w:val="009A5D6C"/>
    <w:rsid w:val="009A5E3D"/>
    <w:rsid w:val="009A7036"/>
    <w:rsid w:val="009A7928"/>
    <w:rsid w:val="009B03EF"/>
    <w:rsid w:val="009B1AF6"/>
    <w:rsid w:val="009B23A7"/>
    <w:rsid w:val="009B2781"/>
    <w:rsid w:val="009B2AF8"/>
    <w:rsid w:val="009B308B"/>
    <w:rsid w:val="009B3AE4"/>
    <w:rsid w:val="009B3F82"/>
    <w:rsid w:val="009B4E06"/>
    <w:rsid w:val="009B5059"/>
    <w:rsid w:val="009B67C1"/>
    <w:rsid w:val="009B7D10"/>
    <w:rsid w:val="009C0D7E"/>
    <w:rsid w:val="009C1B3C"/>
    <w:rsid w:val="009C1BD7"/>
    <w:rsid w:val="009C3E72"/>
    <w:rsid w:val="009C48B8"/>
    <w:rsid w:val="009C5626"/>
    <w:rsid w:val="009C5D63"/>
    <w:rsid w:val="009C5F84"/>
    <w:rsid w:val="009D101F"/>
    <w:rsid w:val="009D2A78"/>
    <w:rsid w:val="009D2AFA"/>
    <w:rsid w:val="009D3025"/>
    <w:rsid w:val="009D58CD"/>
    <w:rsid w:val="009D6545"/>
    <w:rsid w:val="009D7BD9"/>
    <w:rsid w:val="009E13F5"/>
    <w:rsid w:val="009E14EA"/>
    <w:rsid w:val="009E1FB9"/>
    <w:rsid w:val="009E215B"/>
    <w:rsid w:val="009E6C4B"/>
    <w:rsid w:val="009F17A2"/>
    <w:rsid w:val="009F2D3D"/>
    <w:rsid w:val="009F3B66"/>
    <w:rsid w:val="009F455B"/>
    <w:rsid w:val="009F6AB7"/>
    <w:rsid w:val="009F75FD"/>
    <w:rsid w:val="009F78FD"/>
    <w:rsid w:val="00A00454"/>
    <w:rsid w:val="00A004F8"/>
    <w:rsid w:val="00A010B0"/>
    <w:rsid w:val="00A0157E"/>
    <w:rsid w:val="00A04907"/>
    <w:rsid w:val="00A05774"/>
    <w:rsid w:val="00A05B28"/>
    <w:rsid w:val="00A07956"/>
    <w:rsid w:val="00A07BA3"/>
    <w:rsid w:val="00A111E6"/>
    <w:rsid w:val="00A113FD"/>
    <w:rsid w:val="00A117E2"/>
    <w:rsid w:val="00A12787"/>
    <w:rsid w:val="00A139C8"/>
    <w:rsid w:val="00A146E1"/>
    <w:rsid w:val="00A15275"/>
    <w:rsid w:val="00A158CE"/>
    <w:rsid w:val="00A16474"/>
    <w:rsid w:val="00A166A2"/>
    <w:rsid w:val="00A208CC"/>
    <w:rsid w:val="00A21257"/>
    <w:rsid w:val="00A218DE"/>
    <w:rsid w:val="00A220C1"/>
    <w:rsid w:val="00A22577"/>
    <w:rsid w:val="00A24062"/>
    <w:rsid w:val="00A241C8"/>
    <w:rsid w:val="00A2446A"/>
    <w:rsid w:val="00A268A9"/>
    <w:rsid w:val="00A2704C"/>
    <w:rsid w:val="00A2774E"/>
    <w:rsid w:val="00A30A9F"/>
    <w:rsid w:val="00A310DF"/>
    <w:rsid w:val="00A314E1"/>
    <w:rsid w:val="00A31627"/>
    <w:rsid w:val="00A32D56"/>
    <w:rsid w:val="00A33BD6"/>
    <w:rsid w:val="00A33F9C"/>
    <w:rsid w:val="00A34A16"/>
    <w:rsid w:val="00A3760E"/>
    <w:rsid w:val="00A378CC"/>
    <w:rsid w:val="00A37E3C"/>
    <w:rsid w:val="00A40C0F"/>
    <w:rsid w:val="00A40D92"/>
    <w:rsid w:val="00A41535"/>
    <w:rsid w:val="00A4169C"/>
    <w:rsid w:val="00A41C63"/>
    <w:rsid w:val="00A41D24"/>
    <w:rsid w:val="00A41E92"/>
    <w:rsid w:val="00A4216A"/>
    <w:rsid w:val="00A421CD"/>
    <w:rsid w:val="00A42323"/>
    <w:rsid w:val="00A42FEC"/>
    <w:rsid w:val="00A430B4"/>
    <w:rsid w:val="00A4365A"/>
    <w:rsid w:val="00A43FD0"/>
    <w:rsid w:val="00A45502"/>
    <w:rsid w:val="00A46B6B"/>
    <w:rsid w:val="00A507E5"/>
    <w:rsid w:val="00A54A66"/>
    <w:rsid w:val="00A56148"/>
    <w:rsid w:val="00A5623E"/>
    <w:rsid w:val="00A563C2"/>
    <w:rsid w:val="00A61300"/>
    <w:rsid w:val="00A625C7"/>
    <w:rsid w:val="00A62800"/>
    <w:rsid w:val="00A65A3B"/>
    <w:rsid w:val="00A66AEB"/>
    <w:rsid w:val="00A66CD5"/>
    <w:rsid w:val="00A713B4"/>
    <w:rsid w:val="00A71DF5"/>
    <w:rsid w:val="00A72D0C"/>
    <w:rsid w:val="00A72E11"/>
    <w:rsid w:val="00A734CB"/>
    <w:rsid w:val="00A7405C"/>
    <w:rsid w:val="00A756DC"/>
    <w:rsid w:val="00A768B0"/>
    <w:rsid w:val="00A77495"/>
    <w:rsid w:val="00A82916"/>
    <w:rsid w:val="00A82CBC"/>
    <w:rsid w:val="00A82D51"/>
    <w:rsid w:val="00A84B50"/>
    <w:rsid w:val="00A8645A"/>
    <w:rsid w:val="00A87264"/>
    <w:rsid w:val="00A91797"/>
    <w:rsid w:val="00A919AD"/>
    <w:rsid w:val="00A919CA"/>
    <w:rsid w:val="00A94E03"/>
    <w:rsid w:val="00A96EBA"/>
    <w:rsid w:val="00A9749E"/>
    <w:rsid w:val="00A977D0"/>
    <w:rsid w:val="00A97B22"/>
    <w:rsid w:val="00AA0CA8"/>
    <w:rsid w:val="00AA1D28"/>
    <w:rsid w:val="00AA20C5"/>
    <w:rsid w:val="00AA23AE"/>
    <w:rsid w:val="00AA23FE"/>
    <w:rsid w:val="00AA2C94"/>
    <w:rsid w:val="00AA51FE"/>
    <w:rsid w:val="00AA6609"/>
    <w:rsid w:val="00AB066F"/>
    <w:rsid w:val="00AB06C8"/>
    <w:rsid w:val="00AB07CA"/>
    <w:rsid w:val="00AB205D"/>
    <w:rsid w:val="00AB27E4"/>
    <w:rsid w:val="00AB4387"/>
    <w:rsid w:val="00AB6757"/>
    <w:rsid w:val="00AC0416"/>
    <w:rsid w:val="00AC1C44"/>
    <w:rsid w:val="00AC21AD"/>
    <w:rsid w:val="00AC2A01"/>
    <w:rsid w:val="00AC3F51"/>
    <w:rsid w:val="00AC42C2"/>
    <w:rsid w:val="00AC4871"/>
    <w:rsid w:val="00AC608F"/>
    <w:rsid w:val="00AC6BA6"/>
    <w:rsid w:val="00AC7AAC"/>
    <w:rsid w:val="00AC7C09"/>
    <w:rsid w:val="00AC7E06"/>
    <w:rsid w:val="00AD0461"/>
    <w:rsid w:val="00AD07E8"/>
    <w:rsid w:val="00AD0F93"/>
    <w:rsid w:val="00AD0FCF"/>
    <w:rsid w:val="00AD1C80"/>
    <w:rsid w:val="00AD32EC"/>
    <w:rsid w:val="00AD348D"/>
    <w:rsid w:val="00AD3BF5"/>
    <w:rsid w:val="00AD5748"/>
    <w:rsid w:val="00AD65EA"/>
    <w:rsid w:val="00AD7889"/>
    <w:rsid w:val="00AE0577"/>
    <w:rsid w:val="00AE0A38"/>
    <w:rsid w:val="00AE1F70"/>
    <w:rsid w:val="00AE21D7"/>
    <w:rsid w:val="00AE2845"/>
    <w:rsid w:val="00AE4716"/>
    <w:rsid w:val="00AE5F1A"/>
    <w:rsid w:val="00AE66AF"/>
    <w:rsid w:val="00AE7E0E"/>
    <w:rsid w:val="00AF05E5"/>
    <w:rsid w:val="00AF356C"/>
    <w:rsid w:val="00AF39E9"/>
    <w:rsid w:val="00AF3BF3"/>
    <w:rsid w:val="00AF3DAB"/>
    <w:rsid w:val="00AF40B6"/>
    <w:rsid w:val="00AF4CB7"/>
    <w:rsid w:val="00AF5940"/>
    <w:rsid w:val="00AF73EA"/>
    <w:rsid w:val="00B007EB"/>
    <w:rsid w:val="00B0104C"/>
    <w:rsid w:val="00B0227C"/>
    <w:rsid w:val="00B02AF3"/>
    <w:rsid w:val="00B053E0"/>
    <w:rsid w:val="00B06788"/>
    <w:rsid w:val="00B10A92"/>
    <w:rsid w:val="00B11B6D"/>
    <w:rsid w:val="00B11D61"/>
    <w:rsid w:val="00B129F5"/>
    <w:rsid w:val="00B12A4D"/>
    <w:rsid w:val="00B14AE7"/>
    <w:rsid w:val="00B1518B"/>
    <w:rsid w:val="00B176AC"/>
    <w:rsid w:val="00B17912"/>
    <w:rsid w:val="00B17AF9"/>
    <w:rsid w:val="00B2341E"/>
    <w:rsid w:val="00B23E6F"/>
    <w:rsid w:val="00B25045"/>
    <w:rsid w:val="00B265E3"/>
    <w:rsid w:val="00B301C4"/>
    <w:rsid w:val="00B32CC4"/>
    <w:rsid w:val="00B3312F"/>
    <w:rsid w:val="00B339F1"/>
    <w:rsid w:val="00B36E78"/>
    <w:rsid w:val="00B37AB5"/>
    <w:rsid w:val="00B37BE7"/>
    <w:rsid w:val="00B417B1"/>
    <w:rsid w:val="00B4200B"/>
    <w:rsid w:val="00B4297E"/>
    <w:rsid w:val="00B42998"/>
    <w:rsid w:val="00B42D8A"/>
    <w:rsid w:val="00B42F8C"/>
    <w:rsid w:val="00B432C0"/>
    <w:rsid w:val="00B4357F"/>
    <w:rsid w:val="00B43EEB"/>
    <w:rsid w:val="00B45655"/>
    <w:rsid w:val="00B47066"/>
    <w:rsid w:val="00B47240"/>
    <w:rsid w:val="00B51477"/>
    <w:rsid w:val="00B517F7"/>
    <w:rsid w:val="00B564C8"/>
    <w:rsid w:val="00B56F74"/>
    <w:rsid w:val="00B578FF"/>
    <w:rsid w:val="00B60731"/>
    <w:rsid w:val="00B60DCC"/>
    <w:rsid w:val="00B611A3"/>
    <w:rsid w:val="00B64CFE"/>
    <w:rsid w:val="00B660CB"/>
    <w:rsid w:val="00B66182"/>
    <w:rsid w:val="00B66B50"/>
    <w:rsid w:val="00B71831"/>
    <w:rsid w:val="00B71F26"/>
    <w:rsid w:val="00B724EA"/>
    <w:rsid w:val="00B72C1D"/>
    <w:rsid w:val="00B73250"/>
    <w:rsid w:val="00B74D58"/>
    <w:rsid w:val="00B757B2"/>
    <w:rsid w:val="00B76A0D"/>
    <w:rsid w:val="00B81564"/>
    <w:rsid w:val="00B81CF0"/>
    <w:rsid w:val="00B833F2"/>
    <w:rsid w:val="00B83717"/>
    <w:rsid w:val="00B83F61"/>
    <w:rsid w:val="00B84BB9"/>
    <w:rsid w:val="00B85899"/>
    <w:rsid w:val="00B85C90"/>
    <w:rsid w:val="00B85FF8"/>
    <w:rsid w:val="00B86169"/>
    <w:rsid w:val="00B86D88"/>
    <w:rsid w:val="00B87A04"/>
    <w:rsid w:val="00B90D7F"/>
    <w:rsid w:val="00B91CCB"/>
    <w:rsid w:val="00B91DD6"/>
    <w:rsid w:val="00B923B3"/>
    <w:rsid w:val="00B92E0D"/>
    <w:rsid w:val="00B95FFD"/>
    <w:rsid w:val="00B97865"/>
    <w:rsid w:val="00BA1E48"/>
    <w:rsid w:val="00BA46FE"/>
    <w:rsid w:val="00BA47C8"/>
    <w:rsid w:val="00BA50AB"/>
    <w:rsid w:val="00BA70E9"/>
    <w:rsid w:val="00BA7AC1"/>
    <w:rsid w:val="00BB07D9"/>
    <w:rsid w:val="00BB28C5"/>
    <w:rsid w:val="00BB2E5D"/>
    <w:rsid w:val="00BB3722"/>
    <w:rsid w:val="00BB3F4A"/>
    <w:rsid w:val="00BB6CBF"/>
    <w:rsid w:val="00BB7249"/>
    <w:rsid w:val="00BB7817"/>
    <w:rsid w:val="00BB7E41"/>
    <w:rsid w:val="00BC0B52"/>
    <w:rsid w:val="00BC25EC"/>
    <w:rsid w:val="00BC25ED"/>
    <w:rsid w:val="00BC2F1B"/>
    <w:rsid w:val="00BC3E43"/>
    <w:rsid w:val="00BC3F7D"/>
    <w:rsid w:val="00BC479B"/>
    <w:rsid w:val="00BC48D6"/>
    <w:rsid w:val="00BC52BB"/>
    <w:rsid w:val="00BC7C74"/>
    <w:rsid w:val="00BD105B"/>
    <w:rsid w:val="00BD29AD"/>
    <w:rsid w:val="00BD41E4"/>
    <w:rsid w:val="00BD4F61"/>
    <w:rsid w:val="00BD51F6"/>
    <w:rsid w:val="00BD5E8E"/>
    <w:rsid w:val="00BD6FE1"/>
    <w:rsid w:val="00BE364F"/>
    <w:rsid w:val="00BE382E"/>
    <w:rsid w:val="00BE4CB4"/>
    <w:rsid w:val="00BE585A"/>
    <w:rsid w:val="00BE5973"/>
    <w:rsid w:val="00BE5CE3"/>
    <w:rsid w:val="00BE602F"/>
    <w:rsid w:val="00BE63B3"/>
    <w:rsid w:val="00BE74F8"/>
    <w:rsid w:val="00BE773F"/>
    <w:rsid w:val="00BF20C7"/>
    <w:rsid w:val="00BF24F5"/>
    <w:rsid w:val="00BF2904"/>
    <w:rsid w:val="00BF3570"/>
    <w:rsid w:val="00BF3EED"/>
    <w:rsid w:val="00BF4003"/>
    <w:rsid w:val="00BF41E9"/>
    <w:rsid w:val="00BF5150"/>
    <w:rsid w:val="00BF5B86"/>
    <w:rsid w:val="00C00179"/>
    <w:rsid w:val="00C00295"/>
    <w:rsid w:val="00C00FA0"/>
    <w:rsid w:val="00C0175D"/>
    <w:rsid w:val="00C02006"/>
    <w:rsid w:val="00C020CA"/>
    <w:rsid w:val="00C028C2"/>
    <w:rsid w:val="00C0347F"/>
    <w:rsid w:val="00C04495"/>
    <w:rsid w:val="00C04CA0"/>
    <w:rsid w:val="00C05403"/>
    <w:rsid w:val="00C05BC4"/>
    <w:rsid w:val="00C06D78"/>
    <w:rsid w:val="00C07B22"/>
    <w:rsid w:val="00C07F58"/>
    <w:rsid w:val="00C11BA0"/>
    <w:rsid w:val="00C13C5B"/>
    <w:rsid w:val="00C14E09"/>
    <w:rsid w:val="00C16831"/>
    <w:rsid w:val="00C17119"/>
    <w:rsid w:val="00C175BC"/>
    <w:rsid w:val="00C17F24"/>
    <w:rsid w:val="00C205FE"/>
    <w:rsid w:val="00C20BAE"/>
    <w:rsid w:val="00C2105C"/>
    <w:rsid w:val="00C21681"/>
    <w:rsid w:val="00C2365B"/>
    <w:rsid w:val="00C241C2"/>
    <w:rsid w:val="00C243D2"/>
    <w:rsid w:val="00C24688"/>
    <w:rsid w:val="00C25956"/>
    <w:rsid w:val="00C25FAC"/>
    <w:rsid w:val="00C272C7"/>
    <w:rsid w:val="00C27814"/>
    <w:rsid w:val="00C32E46"/>
    <w:rsid w:val="00C3361C"/>
    <w:rsid w:val="00C35A6A"/>
    <w:rsid w:val="00C35CED"/>
    <w:rsid w:val="00C41E25"/>
    <w:rsid w:val="00C42340"/>
    <w:rsid w:val="00C42A13"/>
    <w:rsid w:val="00C436C0"/>
    <w:rsid w:val="00C44471"/>
    <w:rsid w:val="00C44F9F"/>
    <w:rsid w:val="00C45698"/>
    <w:rsid w:val="00C4594B"/>
    <w:rsid w:val="00C46AAF"/>
    <w:rsid w:val="00C478DC"/>
    <w:rsid w:val="00C47F33"/>
    <w:rsid w:val="00C50832"/>
    <w:rsid w:val="00C52816"/>
    <w:rsid w:val="00C5333F"/>
    <w:rsid w:val="00C54239"/>
    <w:rsid w:val="00C55064"/>
    <w:rsid w:val="00C60A9D"/>
    <w:rsid w:val="00C612B3"/>
    <w:rsid w:val="00C62762"/>
    <w:rsid w:val="00C634FF"/>
    <w:rsid w:val="00C6371A"/>
    <w:rsid w:val="00C67AE8"/>
    <w:rsid w:val="00C67BFD"/>
    <w:rsid w:val="00C70DD3"/>
    <w:rsid w:val="00C71482"/>
    <w:rsid w:val="00C723B0"/>
    <w:rsid w:val="00C73112"/>
    <w:rsid w:val="00C73EED"/>
    <w:rsid w:val="00C74809"/>
    <w:rsid w:val="00C74A8B"/>
    <w:rsid w:val="00C767DF"/>
    <w:rsid w:val="00C80FB9"/>
    <w:rsid w:val="00C818D2"/>
    <w:rsid w:val="00C82151"/>
    <w:rsid w:val="00C82B0F"/>
    <w:rsid w:val="00C82E61"/>
    <w:rsid w:val="00C8315C"/>
    <w:rsid w:val="00C834C7"/>
    <w:rsid w:val="00C836D5"/>
    <w:rsid w:val="00C83A34"/>
    <w:rsid w:val="00C83F86"/>
    <w:rsid w:val="00C844EE"/>
    <w:rsid w:val="00C846A6"/>
    <w:rsid w:val="00C84A88"/>
    <w:rsid w:val="00C854CE"/>
    <w:rsid w:val="00C87E1F"/>
    <w:rsid w:val="00C909A0"/>
    <w:rsid w:val="00C91809"/>
    <w:rsid w:val="00C91BFC"/>
    <w:rsid w:val="00C928F1"/>
    <w:rsid w:val="00C9397F"/>
    <w:rsid w:val="00C96800"/>
    <w:rsid w:val="00CA023E"/>
    <w:rsid w:val="00CA0A43"/>
    <w:rsid w:val="00CA2676"/>
    <w:rsid w:val="00CA27E2"/>
    <w:rsid w:val="00CA54C2"/>
    <w:rsid w:val="00CA5912"/>
    <w:rsid w:val="00CA7762"/>
    <w:rsid w:val="00CA77B4"/>
    <w:rsid w:val="00CB0AC5"/>
    <w:rsid w:val="00CB1AF4"/>
    <w:rsid w:val="00CB1EE6"/>
    <w:rsid w:val="00CB2851"/>
    <w:rsid w:val="00CB29A2"/>
    <w:rsid w:val="00CB4492"/>
    <w:rsid w:val="00CB47F1"/>
    <w:rsid w:val="00CB5386"/>
    <w:rsid w:val="00CB55B0"/>
    <w:rsid w:val="00CB595B"/>
    <w:rsid w:val="00CB5A36"/>
    <w:rsid w:val="00CB5D12"/>
    <w:rsid w:val="00CB6532"/>
    <w:rsid w:val="00CB6904"/>
    <w:rsid w:val="00CB7BC7"/>
    <w:rsid w:val="00CC24F8"/>
    <w:rsid w:val="00CC2770"/>
    <w:rsid w:val="00CC375B"/>
    <w:rsid w:val="00CC37AB"/>
    <w:rsid w:val="00CC4234"/>
    <w:rsid w:val="00CC520B"/>
    <w:rsid w:val="00CC68C9"/>
    <w:rsid w:val="00CC6D9E"/>
    <w:rsid w:val="00CD2844"/>
    <w:rsid w:val="00CD4642"/>
    <w:rsid w:val="00CD5D8F"/>
    <w:rsid w:val="00CD7196"/>
    <w:rsid w:val="00CD7CD8"/>
    <w:rsid w:val="00CE0A18"/>
    <w:rsid w:val="00CE1C99"/>
    <w:rsid w:val="00CE1F26"/>
    <w:rsid w:val="00CE2D4B"/>
    <w:rsid w:val="00CE4C37"/>
    <w:rsid w:val="00CE54B6"/>
    <w:rsid w:val="00CE5855"/>
    <w:rsid w:val="00CE76DB"/>
    <w:rsid w:val="00CE7EB1"/>
    <w:rsid w:val="00CF0957"/>
    <w:rsid w:val="00CF327C"/>
    <w:rsid w:val="00D00E9D"/>
    <w:rsid w:val="00D00FF0"/>
    <w:rsid w:val="00D02E61"/>
    <w:rsid w:val="00D046E4"/>
    <w:rsid w:val="00D058C3"/>
    <w:rsid w:val="00D07874"/>
    <w:rsid w:val="00D078CE"/>
    <w:rsid w:val="00D07B68"/>
    <w:rsid w:val="00D07FAD"/>
    <w:rsid w:val="00D10A7B"/>
    <w:rsid w:val="00D120E7"/>
    <w:rsid w:val="00D12FD0"/>
    <w:rsid w:val="00D13FA6"/>
    <w:rsid w:val="00D141DC"/>
    <w:rsid w:val="00D153D4"/>
    <w:rsid w:val="00D154A9"/>
    <w:rsid w:val="00D16604"/>
    <w:rsid w:val="00D1729C"/>
    <w:rsid w:val="00D20514"/>
    <w:rsid w:val="00D209E5"/>
    <w:rsid w:val="00D2118C"/>
    <w:rsid w:val="00D21495"/>
    <w:rsid w:val="00D22500"/>
    <w:rsid w:val="00D23367"/>
    <w:rsid w:val="00D30C32"/>
    <w:rsid w:val="00D31A6A"/>
    <w:rsid w:val="00D32D9A"/>
    <w:rsid w:val="00D32F98"/>
    <w:rsid w:val="00D34C31"/>
    <w:rsid w:val="00D3664E"/>
    <w:rsid w:val="00D372DB"/>
    <w:rsid w:val="00D37522"/>
    <w:rsid w:val="00D40A84"/>
    <w:rsid w:val="00D40B63"/>
    <w:rsid w:val="00D43574"/>
    <w:rsid w:val="00D436A1"/>
    <w:rsid w:val="00D438DB"/>
    <w:rsid w:val="00D43B4C"/>
    <w:rsid w:val="00D4417B"/>
    <w:rsid w:val="00D4422D"/>
    <w:rsid w:val="00D44635"/>
    <w:rsid w:val="00D44911"/>
    <w:rsid w:val="00D44AFB"/>
    <w:rsid w:val="00D4508A"/>
    <w:rsid w:val="00D46EDE"/>
    <w:rsid w:val="00D51641"/>
    <w:rsid w:val="00D520B6"/>
    <w:rsid w:val="00D54CC2"/>
    <w:rsid w:val="00D5533B"/>
    <w:rsid w:val="00D55490"/>
    <w:rsid w:val="00D55E40"/>
    <w:rsid w:val="00D577FA"/>
    <w:rsid w:val="00D610DA"/>
    <w:rsid w:val="00D61A77"/>
    <w:rsid w:val="00D66109"/>
    <w:rsid w:val="00D66F8B"/>
    <w:rsid w:val="00D67857"/>
    <w:rsid w:val="00D70157"/>
    <w:rsid w:val="00D70B0D"/>
    <w:rsid w:val="00D71150"/>
    <w:rsid w:val="00D71A64"/>
    <w:rsid w:val="00D71CD5"/>
    <w:rsid w:val="00D72767"/>
    <w:rsid w:val="00D7333D"/>
    <w:rsid w:val="00D74A3B"/>
    <w:rsid w:val="00D75615"/>
    <w:rsid w:val="00D775BE"/>
    <w:rsid w:val="00D802FE"/>
    <w:rsid w:val="00D818EC"/>
    <w:rsid w:val="00D81E91"/>
    <w:rsid w:val="00D81F2F"/>
    <w:rsid w:val="00D83450"/>
    <w:rsid w:val="00D84A6A"/>
    <w:rsid w:val="00D84CBD"/>
    <w:rsid w:val="00D853F3"/>
    <w:rsid w:val="00D866CB"/>
    <w:rsid w:val="00D87515"/>
    <w:rsid w:val="00D91754"/>
    <w:rsid w:val="00D92BF9"/>
    <w:rsid w:val="00D9319A"/>
    <w:rsid w:val="00D94692"/>
    <w:rsid w:val="00D94870"/>
    <w:rsid w:val="00D94C9D"/>
    <w:rsid w:val="00D9554E"/>
    <w:rsid w:val="00D96516"/>
    <w:rsid w:val="00D96C34"/>
    <w:rsid w:val="00D97317"/>
    <w:rsid w:val="00D97EB5"/>
    <w:rsid w:val="00DA2A78"/>
    <w:rsid w:val="00DA2B3B"/>
    <w:rsid w:val="00DA3C97"/>
    <w:rsid w:val="00DA3F3B"/>
    <w:rsid w:val="00DA4894"/>
    <w:rsid w:val="00DA5FEE"/>
    <w:rsid w:val="00DA67C3"/>
    <w:rsid w:val="00DB0698"/>
    <w:rsid w:val="00DB180E"/>
    <w:rsid w:val="00DB1C8A"/>
    <w:rsid w:val="00DB24FD"/>
    <w:rsid w:val="00DB2BFA"/>
    <w:rsid w:val="00DB357E"/>
    <w:rsid w:val="00DB360F"/>
    <w:rsid w:val="00DB4740"/>
    <w:rsid w:val="00DB47DE"/>
    <w:rsid w:val="00DB60EF"/>
    <w:rsid w:val="00DB6B4E"/>
    <w:rsid w:val="00DC2EF2"/>
    <w:rsid w:val="00DC39A1"/>
    <w:rsid w:val="00DC4029"/>
    <w:rsid w:val="00DC40C1"/>
    <w:rsid w:val="00DC478A"/>
    <w:rsid w:val="00DC5222"/>
    <w:rsid w:val="00DC6675"/>
    <w:rsid w:val="00DC72AA"/>
    <w:rsid w:val="00DD2E4C"/>
    <w:rsid w:val="00DD53A1"/>
    <w:rsid w:val="00DD5AEB"/>
    <w:rsid w:val="00DD6288"/>
    <w:rsid w:val="00DE0A5B"/>
    <w:rsid w:val="00DE0E2A"/>
    <w:rsid w:val="00DE288E"/>
    <w:rsid w:val="00DE324B"/>
    <w:rsid w:val="00DE3BE2"/>
    <w:rsid w:val="00DE41D2"/>
    <w:rsid w:val="00DE6395"/>
    <w:rsid w:val="00DE699B"/>
    <w:rsid w:val="00DE6E56"/>
    <w:rsid w:val="00DF08C4"/>
    <w:rsid w:val="00DF2F24"/>
    <w:rsid w:val="00DF6A6A"/>
    <w:rsid w:val="00DF7F3C"/>
    <w:rsid w:val="00E0126E"/>
    <w:rsid w:val="00E01533"/>
    <w:rsid w:val="00E02E95"/>
    <w:rsid w:val="00E03237"/>
    <w:rsid w:val="00E03AA6"/>
    <w:rsid w:val="00E065A4"/>
    <w:rsid w:val="00E07926"/>
    <w:rsid w:val="00E123F4"/>
    <w:rsid w:val="00E1246C"/>
    <w:rsid w:val="00E12A42"/>
    <w:rsid w:val="00E12D87"/>
    <w:rsid w:val="00E135EF"/>
    <w:rsid w:val="00E14638"/>
    <w:rsid w:val="00E16A48"/>
    <w:rsid w:val="00E20CD8"/>
    <w:rsid w:val="00E21529"/>
    <w:rsid w:val="00E21B99"/>
    <w:rsid w:val="00E221B7"/>
    <w:rsid w:val="00E2323C"/>
    <w:rsid w:val="00E23A19"/>
    <w:rsid w:val="00E242CC"/>
    <w:rsid w:val="00E26207"/>
    <w:rsid w:val="00E30B3F"/>
    <w:rsid w:val="00E316EE"/>
    <w:rsid w:val="00E331C6"/>
    <w:rsid w:val="00E33C7D"/>
    <w:rsid w:val="00E340FD"/>
    <w:rsid w:val="00E344F6"/>
    <w:rsid w:val="00E35CC5"/>
    <w:rsid w:val="00E3768D"/>
    <w:rsid w:val="00E40288"/>
    <w:rsid w:val="00E42687"/>
    <w:rsid w:val="00E42911"/>
    <w:rsid w:val="00E42C10"/>
    <w:rsid w:val="00E4347D"/>
    <w:rsid w:val="00E43E5E"/>
    <w:rsid w:val="00E4549D"/>
    <w:rsid w:val="00E45606"/>
    <w:rsid w:val="00E4590C"/>
    <w:rsid w:val="00E45A76"/>
    <w:rsid w:val="00E460AC"/>
    <w:rsid w:val="00E46CF2"/>
    <w:rsid w:val="00E475F5"/>
    <w:rsid w:val="00E50792"/>
    <w:rsid w:val="00E50B2C"/>
    <w:rsid w:val="00E50F55"/>
    <w:rsid w:val="00E51A02"/>
    <w:rsid w:val="00E5344D"/>
    <w:rsid w:val="00E543AB"/>
    <w:rsid w:val="00E5589E"/>
    <w:rsid w:val="00E55A15"/>
    <w:rsid w:val="00E55C91"/>
    <w:rsid w:val="00E55F6D"/>
    <w:rsid w:val="00E6087A"/>
    <w:rsid w:val="00E63D78"/>
    <w:rsid w:val="00E645AF"/>
    <w:rsid w:val="00E6591F"/>
    <w:rsid w:val="00E659BE"/>
    <w:rsid w:val="00E65A0C"/>
    <w:rsid w:val="00E66581"/>
    <w:rsid w:val="00E66E08"/>
    <w:rsid w:val="00E67F8D"/>
    <w:rsid w:val="00E70873"/>
    <w:rsid w:val="00E718DE"/>
    <w:rsid w:val="00E7250D"/>
    <w:rsid w:val="00E74C66"/>
    <w:rsid w:val="00E75D97"/>
    <w:rsid w:val="00E76B2C"/>
    <w:rsid w:val="00E80CFE"/>
    <w:rsid w:val="00E8102F"/>
    <w:rsid w:val="00E827B9"/>
    <w:rsid w:val="00E83224"/>
    <w:rsid w:val="00E83DC2"/>
    <w:rsid w:val="00E83FD5"/>
    <w:rsid w:val="00E856B4"/>
    <w:rsid w:val="00E86DD4"/>
    <w:rsid w:val="00E87F58"/>
    <w:rsid w:val="00E9061C"/>
    <w:rsid w:val="00E93844"/>
    <w:rsid w:val="00E93A3A"/>
    <w:rsid w:val="00EA0A48"/>
    <w:rsid w:val="00EA119C"/>
    <w:rsid w:val="00EA2BBC"/>
    <w:rsid w:val="00EA3DF1"/>
    <w:rsid w:val="00EA4087"/>
    <w:rsid w:val="00EA41D6"/>
    <w:rsid w:val="00EA4D13"/>
    <w:rsid w:val="00EA4D75"/>
    <w:rsid w:val="00EA4DF1"/>
    <w:rsid w:val="00EA5266"/>
    <w:rsid w:val="00EB16FD"/>
    <w:rsid w:val="00EB1781"/>
    <w:rsid w:val="00EB189A"/>
    <w:rsid w:val="00EB41E9"/>
    <w:rsid w:val="00EB4467"/>
    <w:rsid w:val="00EB4764"/>
    <w:rsid w:val="00EB47B0"/>
    <w:rsid w:val="00EB4C06"/>
    <w:rsid w:val="00EB58CD"/>
    <w:rsid w:val="00EB5DA9"/>
    <w:rsid w:val="00EB6351"/>
    <w:rsid w:val="00EB6508"/>
    <w:rsid w:val="00EB6638"/>
    <w:rsid w:val="00EC0008"/>
    <w:rsid w:val="00EC0C32"/>
    <w:rsid w:val="00EC103D"/>
    <w:rsid w:val="00EC1F65"/>
    <w:rsid w:val="00EC212A"/>
    <w:rsid w:val="00EC24F9"/>
    <w:rsid w:val="00EC2818"/>
    <w:rsid w:val="00EC2956"/>
    <w:rsid w:val="00EC5781"/>
    <w:rsid w:val="00EC608D"/>
    <w:rsid w:val="00EC657F"/>
    <w:rsid w:val="00EC6921"/>
    <w:rsid w:val="00EC6C01"/>
    <w:rsid w:val="00EC6F00"/>
    <w:rsid w:val="00EC70AF"/>
    <w:rsid w:val="00ED1E12"/>
    <w:rsid w:val="00ED3A9E"/>
    <w:rsid w:val="00ED3BF2"/>
    <w:rsid w:val="00ED447A"/>
    <w:rsid w:val="00ED5258"/>
    <w:rsid w:val="00ED6950"/>
    <w:rsid w:val="00EE039B"/>
    <w:rsid w:val="00EE0675"/>
    <w:rsid w:val="00EE097C"/>
    <w:rsid w:val="00EE34B2"/>
    <w:rsid w:val="00EE4631"/>
    <w:rsid w:val="00EE4B6A"/>
    <w:rsid w:val="00EE57B4"/>
    <w:rsid w:val="00EF0DCC"/>
    <w:rsid w:val="00EF22FD"/>
    <w:rsid w:val="00EF2F15"/>
    <w:rsid w:val="00F03CDC"/>
    <w:rsid w:val="00F04E6C"/>
    <w:rsid w:val="00F06878"/>
    <w:rsid w:val="00F0702F"/>
    <w:rsid w:val="00F0703F"/>
    <w:rsid w:val="00F0709C"/>
    <w:rsid w:val="00F07250"/>
    <w:rsid w:val="00F13F55"/>
    <w:rsid w:val="00F140ED"/>
    <w:rsid w:val="00F1519F"/>
    <w:rsid w:val="00F169E9"/>
    <w:rsid w:val="00F17304"/>
    <w:rsid w:val="00F2091B"/>
    <w:rsid w:val="00F20CE9"/>
    <w:rsid w:val="00F215B7"/>
    <w:rsid w:val="00F22012"/>
    <w:rsid w:val="00F232B7"/>
    <w:rsid w:val="00F24A82"/>
    <w:rsid w:val="00F2557E"/>
    <w:rsid w:val="00F2636A"/>
    <w:rsid w:val="00F26FD4"/>
    <w:rsid w:val="00F34838"/>
    <w:rsid w:val="00F34849"/>
    <w:rsid w:val="00F34954"/>
    <w:rsid w:val="00F34AB1"/>
    <w:rsid w:val="00F3510D"/>
    <w:rsid w:val="00F37351"/>
    <w:rsid w:val="00F37CE6"/>
    <w:rsid w:val="00F41468"/>
    <w:rsid w:val="00F421AB"/>
    <w:rsid w:val="00F427DB"/>
    <w:rsid w:val="00F44900"/>
    <w:rsid w:val="00F45F61"/>
    <w:rsid w:val="00F47E86"/>
    <w:rsid w:val="00F52332"/>
    <w:rsid w:val="00F534A0"/>
    <w:rsid w:val="00F53984"/>
    <w:rsid w:val="00F55FE0"/>
    <w:rsid w:val="00F5636A"/>
    <w:rsid w:val="00F6203C"/>
    <w:rsid w:val="00F623EC"/>
    <w:rsid w:val="00F648E7"/>
    <w:rsid w:val="00F65FCB"/>
    <w:rsid w:val="00F6682C"/>
    <w:rsid w:val="00F6684E"/>
    <w:rsid w:val="00F67272"/>
    <w:rsid w:val="00F70F47"/>
    <w:rsid w:val="00F717B4"/>
    <w:rsid w:val="00F71F21"/>
    <w:rsid w:val="00F72D4B"/>
    <w:rsid w:val="00F741E0"/>
    <w:rsid w:val="00F75F9E"/>
    <w:rsid w:val="00F76888"/>
    <w:rsid w:val="00F770D6"/>
    <w:rsid w:val="00F7741E"/>
    <w:rsid w:val="00F7796C"/>
    <w:rsid w:val="00F77F29"/>
    <w:rsid w:val="00F804EC"/>
    <w:rsid w:val="00F80B7F"/>
    <w:rsid w:val="00F80ED1"/>
    <w:rsid w:val="00F847F4"/>
    <w:rsid w:val="00F85048"/>
    <w:rsid w:val="00F851CB"/>
    <w:rsid w:val="00F8598B"/>
    <w:rsid w:val="00F863E4"/>
    <w:rsid w:val="00F864E8"/>
    <w:rsid w:val="00F8691B"/>
    <w:rsid w:val="00F86A8D"/>
    <w:rsid w:val="00F90FEA"/>
    <w:rsid w:val="00F916FD"/>
    <w:rsid w:val="00F91B2E"/>
    <w:rsid w:val="00F92235"/>
    <w:rsid w:val="00F93978"/>
    <w:rsid w:val="00F939A5"/>
    <w:rsid w:val="00F93BBF"/>
    <w:rsid w:val="00F940C4"/>
    <w:rsid w:val="00F94438"/>
    <w:rsid w:val="00F94514"/>
    <w:rsid w:val="00F9551C"/>
    <w:rsid w:val="00F95572"/>
    <w:rsid w:val="00F95CA0"/>
    <w:rsid w:val="00F95DE0"/>
    <w:rsid w:val="00F9606F"/>
    <w:rsid w:val="00F969E8"/>
    <w:rsid w:val="00FA0190"/>
    <w:rsid w:val="00FA0436"/>
    <w:rsid w:val="00FA0F3F"/>
    <w:rsid w:val="00FA1969"/>
    <w:rsid w:val="00FA3090"/>
    <w:rsid w:val="00FA3744"/>
    <w:rsid w:val="00FA5F97"/>
    <w:rsid w:val="00FA6076"/>
    <w:rsid w:val="00FA722F"/>
    <w:rsid w:val="00FB03FC"/>
    <w:rsid w:val="00FB0E09"/>
    <w:rsid w:val="00FB45AD"/>
    <w:rsid w:val="00FB52B2"/>
    <w:rsid w:val="00FB6143"/>
    <w:rsid w:val="00FC15E9"/>
    <w:rsid w:val="00FC1D27"/>
    <w:rsid w:val="00FC1FAE"/>
    <w:rsid w:val="00FC2E02"/>
    <w:rsid w:val="00FC3787"/>
    <w:rsid w:val="00FC3ED1"/>
    <w:rsid w:val="00FD01C4"/>
    <w:rsid w:val="00FD05B6"/>
    <w:rsid w:val="00FD0E08"/>
    <w:rsid w:val="00FD14E5"/>
    <w:rsid w:val="00FD197D"/>
    <w:rsid w:val="00FD7840"/>
    <w:rsid w:val="00FD7AE8"/>
    <w:rsid w:val="00FE0AA2"/>
    <w:rsid w:val="00FE1781"/>
    <w:rsid w:val="00FE2B9A"/>
    <w:rsid w:val="00FE344C"/>
    <w:rsid w:val="00FE4D79"/>
    <w:rsid w:val="00FE508D"/>
    <w:rsid w:val="00FE6D0A"/>
    <w:rsid w:val="00FE75B1"/>
    <w:rsid w:val="00FE78C8"/>
    <w:rsid w:val="00FE7D16"/>
    <w:rsid w:val="00FF056F"/>
    <w:rsid w:val="00FF15D3"/>
    <w:rsid w:val="00FF23E4"/>
    <w:rsid w:val="00FF2B24"/>
    <w:rsid w:val="00FF31BE"/>
    <w:rsid w:val="00FF3FB3"/>
    <w:rsid w:val="00FF5335"/>
    <w:rsid w:val="00FF5F1B"/>
    <w:rsid w:val="00FF69A7"/>
    <w:rsid w:val="00FF72E2"/>
    <w:rsid w:val="00FF7C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66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2F507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2F5075"/>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4.wmf"/><Relationship Id="rId21" Type="http://schemas.openxmlformats.org/officeDocument/2006/relationships/image" Target="media/image9.wmf"/><Relationship Id="rId42" Type="http://schemas.openxmlformats.org/officeDocument/2006/relationships/image" Target="media/image27.wmf"/><Relationship Id="rId47" Type="http://schemas.openxmlformats.org/officeDocument/2006/relationships/image" Target="media/image29.wmf"/><Relationship Id="rId63" Type="http://schemas.openxmlformats.org/officeDocument/2006/relationships/image" Target="media/image41.wmf"/><Relationship Id="rId68" Type="http://schemas.openxmlformats.org/officeDocument/2006/relationships/image" Target="media/image46.wmf"/><Relationship Id="rId16" Type="http://schemas.openxmlformats.org/officeDocument/2006/relationships/hyperlink" Target="consultantplus://offline/ref=360F5C23CDA8E45A09654A576A19E9772887BBA44F4BDD5E50D5138118AE9A0AD08ADE22E6E5BFEEK3ICE" TargetMode="External"/><Relationship Id="rId11" Type="http://schemas.openxmlformats.org/officeDocument/2006/relationships/image" Target="media/image1.wmf"/><Relationship Id="rId24" Type="http://schemas.openxmlformats.org/officeDocument/2006/relationships/image" Target="media/image12.wmf"/><Relationship Id="rId32" Type="http://schemas.openxmlformats.org/officeDocument/2006/relationships/image" Target="media/image20.wmf"/><Relationship Id="rId37" Type="http://schemas.openxmlformats.org/officeDocument/2006/relationships/image" Target="media/image23.wmf"/><Relationship Id="rId40" Type="http://schemas.openxmlformats.org/officeDocument/2006/relationships/hyperlink" Target="consultantplus://offline/ref=360F5C23CDA8E45A09654A576A19E9772887BBA44F4BDD5E50D5138118AE9A0AD08ADE22E6E5BFEFK3IBE" TargetMode="External"/><Relationship Id="rId45" Type="http://schemas.openxmlformats.org/officeDocument/2006/relationships/hyperlink" Target="consultantplus://offline/ref=360F5C23CDA8E45A09654A576A19E9772887BDA2464EDD5E50D5138118AE9A0AD08ADE22E6E5BFEFK3I9E" TargetMode="External"/><Relationship Id="rId53" Type="http://schemas.openxmlformats.org/officeDocument/2006/relationships/image" Target="media/image33.wmf"/><Relationship Id="rId58" Type="http://schemas.openxmlformats.org/officeDocument/2006/relationships/image" Target="media/image37.wmf"/><Relationship Id="rId66" Type="http://schemas.openxmlformats.org/officeDocument/2006/relationships/image" Target="media/image44.wmf"/><Relationship Id="rId74" Type="http://schemas.openxmlformats.org/officeDocument/2006/relationships/hyperlink" Target="consultantplus://offline/ref=360F5C23CDA8E45A09654A576A19E9772886B9A34B4EDD5E50D5138118AE9A0AD08ADE22E6E5BFEFK3IAE" TargetMode="External"/><Relationship Id="rId79" Type="http://schemas.openxmlformats.org/officeDocument/2006/relationships/customXml" Target="../customXml/item3.xml"/><Relationship Id="rId5" Type="http://schemas.openxmlformats.org/officeDocument/2006/relationships/hyperlink" Target="consultantplus://offline/ref=360F5C23CDA8E45A09654A576A19E9772881B9A7474ADD5E50D5138118AE9A0AD08ADE22E6E5BFEBK3I2E" TargetMode="External"/><Relationship Id="rId61" Type="http://schemas.openxmlformats.org/officeDocument/2006/relationships/image" Target="media/image39.wmf"/><Relationship Id="rId19" Type="http://schemas.openxmlformats.org/officeDocument/2006/relationships/image" Target="media/image7.wmf"/><Relationship Id="rId14" Type="http://schemas.openxmlformats.org/officeDocument/2006/relationships/image" Target="media/image4.wmf"/><Relationship Id="rId22" Type="http://schemas.openxmlformats.org/officeDocument/2006/relationships/image" Target="media/image10.wmf"/><Relationship Id="rId27" Type="http://schemas.openxmlformats.org/officeDocument/2006/relationships/image" Target="media/image15.wmf"/><Relationship Id="rId30" Type="http://schemas.openxmlformats.org/officeDocument/2006/relationships/image" Target="media/image18.wmf"/><Relationship Id="rId35" Type="http://schemas.openxmlformats.org/officeDocument/2006/relationships/hyperlink" Target="consultantplus://offline/ref=360F5C23CDA8E45A09654A576A19E9772887BBA44F4BDD5E50D5138118AE9A0AD08ADE22E6E5BFEEK3I3E" TargetMode="External"/><Relationship Id="rId43" Type="http://schemas.openxmlformats.org/officeDocument/2006/relationships/hyperlink" Target="consultantplus://offline/ref=360F5C23CDA8E45A09654A576A19E9772887BDA2464EDD5E50D5138118AE9A0AD08ADE22E6E5BFEFK3I9E" TargetMode="External"/><Relationship Id="rId48" Type="http://schemas.openxmlformats.org/officeDocument/2006/relationships/hyperlink" Target="consultantplus://offline/ref=360F5C23CDA8E45A09654A576A19E9772887BBA44F4BDD5E50D5138118AE9A0AD08ADE22E6E5BFEFK3I3E" TargetMode="External"/><Relationship Id="rId56" Type="http://schemas.openxmlformats.org/officeDocument/2006/relationships/hyperlink" Target="consultantplus://offline/ref=360F5C23CDA8E45A09654A576A19E9772886B9A34B4EDD5E50D5138118AE9A0AD08ADE22E6E5BFEFK3IAE" TargetMode="External"/><Relationship Id="rId64" Type="http://schemas.openxmlformats.org/officeDocument/2006/relationships/image" Target="media/image42.wmf"/><Relationship Id="rId69" Type="http://schemas.openxmlformats.org/officeDocument/2006/relationships/image" Target="media/image47.wmf"/><Relationship Id="rId77" Type="http://schemas.openxmlformats.org/officeDocument/2006/relationships/customXml" Target="../customXml/item1.xml"/><Relationship Id="rId8" Type="http://schemas.openxmlformats.org/officeDocument/2006/relationships/hyperlink" Target="consultantplus://offline/ref=360F5C23CDA8E45A09654A576A19E9772885B9A24D4DDD5E50D5138118AE9A0AD08ADE22E6E5BFEEK3I3E" TargetMode="External"/><Relationship Id="rId51" Type="http://schemas.openxmlformats.org/officeDocument/2006/relationships/image" Target="media/image32.wmf"/><Relationship Id="rId72" Type="http://schemas.openxmlformats.org/officeDocument/2006/relationships/hyperlink" Target="consultantplus://offline/ref=360F5C23CDA8E45A09654A576A19E9772887BBA44F4BDD5E50D5138118AE9A0AD08ADE22E6E5BFECK3IFE" TargetMode="External"/><Relationship Id="rId3" Type="http://schemas.openxmlformats.org/officeDocument/2006/relationships/webSettings" Target="webSettings.xml"/><Relationship Id="rId12" Type="http://schemas.openxmlformats.org/officeDocument/2006/relationships/image" Target="media/image2.wmf"/><Relationship Id="rId17" Type="http://schemas.openxmlformats.org/officeDocument/2006/relationships/image" Target="media/image6.wmf"/><Relationship Id="rId25" Type="http://schemas.openxmlformats.org/officeDocument/2006/relationships/image" Target="media/image13.wmf"/><Relationship Id="rId33" Type="http://schemas.openxmlformats.org/officeDocument/2006/relationships/image" Target="media/image21.wmf"/><Relationship Id="rId38" Type="http://schemas.openxmlformats.org/officeDocument/2006/relationships/image" Target="media/image24.wmf"/><Relationship Id="rId46" Type="http://schemas.openxmlformats.org/officeDocument/2006/relationships/hyperlink" Target="consultantplus://offline/ref=360F5C23CDA8E45A09654A576A19E9772887BBA44F4BDD5E50D5138118AE9A0AD08ADE22E6E5BFEFK3I8E" TargetMode="External"/><Relationship Id="rId59" Type="http://schemas.openxmlformats.org/officeDocument/2006/relationships/image" Target="media/image38.wmf"/><Relationship Id="rId67" Type="http://schemas.openxmlformats.org/officeDocument/2006/relationships/image" Target="media/image45.wmf"/><Relationship Id="rId20" Type="http://schemas.openxmlformats.org/officeDocument/2006/relationships/image" Target="media/image8.wmf"/><Relationship Id="rId41" Type="http://schemas.openxmlformats.org/officeDocument/2006/relationships/image" Target="media/image26.wmf"/><Relationship Id="rId54" Type="http://schemas.openxmlformats.org/officeDocument/2006/relationships/image" Target="media/image34.wmf"/><Relationship Id="rId62" Type="http://schemas.openxmlformats.org/officeDocument/2006/relationships/image" Target="media/image40.wmf"/><Relationship Id="rId70" Type="http://schemas.openxmlformats.org/officeDocument/2006/relationships/hyperlink" Target="consultantplus://offline/ref=360F5C23CDA8E45A09654A576A19E9772886B9A34B4EDD5E50D5138118AE9A0AD08ADE22E6E5BFEFK3IAE" TargetMode="Externa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360F5C23CDA8E45A09654A576A19E9772885B9A24D4DDD5E50D5138118AE9A0AD08ADE22E6E5BFEFK3IBE" TargetMode="External"/><Relationship Id="rId15" Type="http://schemas.openxmlformats.org/officeDocument/2006/relationships/image" Target="media/image5.wmf"/><Relationship Id="rId23" Type="http://schemas.openxmlformats.org/officeDocument/2006/relationships/image" Target="media/image11.wmf"/><Relationship Id="rId28" Type="http://schemas.openxmlformats.org/officeDocument/2006/relationships/image" Target="media/image16.wmf"/><Relationship Id="rId36" Type="http://schemas.openxmlformats.org/officeDocument/2006/relationships/hyperlink" Target="consultantplus://offline/ref=360F5C23CDA8E45A09654A576A19E9772887BDA2464EDD5E50D5138118AE9A0AD08ADE22E6E5BFEFK3I9E" TargetMode="External"/><Relationship Id="rId49" Type="http://schemas.openxmlformats.org/officeDocument/2006/relationships/image" Target="media/image30.wmf"/><Relationship Id="rId57" Type="http://schemas.openxmlformats.org/officeDocument/2006/relationships/image" Target="media/image36.wmf"/><Relationship Id="rId10" Type="http://schemas.openxmlformats.org/officeDocument/2006/relationships/hyperlink" Target="consultantplus://offline/ref=360F5C23CDA8E45A09654A576A19E9772887BBA44F4BDD5E50D5138118AE9A0AD08ADE22E6E5BFEEK3ICE" TargetMode="External"/><Relationship Id="rId31" Type="http://schemas.openxmlformats.org/officeDocument/2006/relationships/image" Target="media/image19.wmf"/><Relationship Id="rId44" Type="http://schemas.openxmlformats.org/officeDocument/2006/relationships/image" Target="media/image28.wmf"/><Relationship Id="rId52" Type="http://schemas.openxmlformats.org/officeDocument/2006/relationships/hyperlink" Target="consultantplus://offline/ref=360F5C23CDA8E45A09654A576A19E9772886B9A34B4EDD5E50D5138118AE9A0AD08ADE22E6E5BFEFK3IAE" TargetMode="External"/><Relationship Id="rId60" Type="http://schemas.openxmlformats.org/officeDocument/2006/relationships/hyperlink" Target="consultantplus://offline/ref=360F5C23CDA8E45A09654A576A19E9772887BBA44F4BDD5E50D5138118AE9A0AD08ADE22E6E5BFECK3IAE" TargetMode="External"/><Relationship Id="rId65" Type="http://schemas.openxmlformats.org/officeDocument/2006/relationships/image" Target="media/image43.wmf"/><Relationship Id="rId73" Type="http://schemas.openxmlformats.org/officeDocument/2006/relationships/hyperlink" Target="consultantplus://offline/ref=360F5C23CDA8E45A09654A576A19E9772886B9A34B4EDD5E50D5138118AE9A0AD08ADE22E6E5BFEFK3IAE" TargetMode="External"/><Relationship Id="rId78" Type="http://schemas.openxmlformats.org/officeDocument/2006/relationships/customXml" Target="../customXml/item2.xml"/><Relationship Id="rId4" Type="http://schemas.openxmlformats.org/officeDocument/2006/relationships/hyperlink" Target="consultantplus://offline/ref=360F5C23CDA8E45A09654A576A19E9772887BBA44F4BDD5E50D5138118AE9A0AD08ADE22E6E5BFEEK3IDE" TargetMode="External"/><Relationship Id="rId9" Type="http://schemas.openxmlformats.org/officeDocument/2006/relationships/hyperlink" Target="consultantplus://offline/ref=360F5C23CDA8E45A09654A576A19E9772886B9A34B4EDD5E50D5138118AE9A0AD08ADE22E6E5BFEFK3IAE" TargetMode="External"/><Relationship Id="rId13" Type="http://schemas.openxmlformats.org/officeDocument/2006/relationships/image" Target="media/image3.wmf"/><Relationship Id="rId18" Type="http://schemas.openxmlformats.org/officeDocument/2006/relationships/hyperlink" Target="consultantplus://offline/ref=360F5C23CDA8E45A09654A576A19E9772887BBA44F4BDD5E50D5138118AE9A0AD08ADE22E6E5BFEEK3ICE" TargetMode="External"/><Relationship Id="rId39" Type="http://schemas.openxmlformats.org/officeDocument/2006/relationships/image" Target="media/image25.wmf"/><Relationship Id="rId34" Type="http://schemas.openxmlformats.org/officeDocument/2006/relationships/image" Target="media/image22.wmf"/><Relationship Id="rId50" Type="http://schemas.openxmlformats.org/officeDocument/2006/relationships/image" Target="media/image31.wmf"/><Relationship Id="rId55" Type="http://schemas.openxmlformats.org/officeDocument/2006/relationships/image" Target="media/image35.wmf"/><Relationship Id="rId76" Type="http://schemas.openxmlformats.org/officeDocument/2006/relationships/theme" Target="theme/theme1.xml"/><Relationship Id="rId7" Type="http://schemas.openxmlformats.org/officeDocument/2006/relationships/hyperlink" Target="consultantplus://offline/ref=360F5C23CDA8E45A09654A576A19E9772887BBA44F4BDD5E50D5138118AE9A0AD08ADE22E6E5BFEEK3IDE" TargetMode="External"/><Relationship Id="rId71" Type="http://schemas.openxmlformats.org/officeDocument/2006/relationships/hyperlink" Target="consultantplus://offline/ref=360F5C23CDA8E45A09654A576A19E9772887BBA44F4BDD5E50D5138118AE9A0AD08ADE22E6E5BFECK3I8E" TargetMode="External"/><Relationship Id="rId2" Type="http://schemas.openxmlformats.org/officeDocument/2006/relationships/settings" Target="settings.xml"/><Relationship Id="rId29" Type="http://schemas.openxmlformats.org/officeDocument/2006/relationships/image" Target="media/image1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ED51C6ED0849DA418EFBCC74E5338D5B" ma:contentTypeVersion="1" ma:contentTypeDescription="Создание документа." ma:contentTypeScope="" ma:versionID="cc0c522eca135f68e48110e4e96292fe">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C957B8A-AD0D-4723-93E3-F901B932DED2}"/>
</file>

<file path=customXml/itemProps2.xml><?xml version="1.0" encoding="utf-8"?>
<ds:datastoreItem xmlns:ds="http://schemas.openxmlformats.org/officeDocument/2006/customXml" ds:itemID="{3003667A-D768-4589-AB85-7A7328668ADF}"/>
</file>

<file path=customXml/itemProps3.xml><?xml version="1.0" encoding="utf-8"?>
<ds:datastoreItem xmlns:ds="http://schemas.openxmlformats.org/officeDocument/2006/customXml" ds:itemID="{651DE9AF-0AD5-40DF-ABC1-C00876973E46}"/>
</file>

<file path=docProps/app.xml><?xml version="1.0" encoding="utf-8"?>
<Properties xmlns="http://schemas.openxmlformats.org/officeDocument/2006/extended-properties" xmlns:vt="http://schemas.openxmlformats.org/officeDocument/2006/docPropsVTypes">
  <Template>Normal</Template>
  <TotalTime>0</TotalTime>
  <Pages>13</Pages>
  <Words>4782</Words>
  <Characters>27258</Characters>
  <Application>Microsoft Office Word</Application>
  <DocSecurity>0</DocSecurity>
  <Lines>227</Lines>
  <Paragraphs>63</Paragraphs>
  <ScaleCrop>false</ScaleCrop>
  <Company/>
  <LinksUpToDate>false</LinksUpToDate>
  <CharactersWithSpaces>31977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kuv</dc:creator>
  <cp:lastModifiedBy>kuv</cp:lastModifiedBy>
  <cp:revision>1</cp:revision>
  <dcterms:created xsi:type="dcterms:W3CDTF">2013-11-26T04:08:00Z</dcterms:created>
  <dcterms:modified xsi:type="dcterms:W3CDTF">2013-11-26T04:08:00Z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0x010100ED51C6ED0849DA418EFBCC74E5338D5B</vt:lpwstr>
  </property>
</Properties>
</file>